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OPĆINA ŠKABRNJA</w:t>
      </w: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055605" cy="3171657"/>
            <wp:effectExtent l="19050" t="0" r="1795" b="0"/>
            <wp:docPr id="5" name="Slika 5" descr="Slikovni rezultat za OPĆINA ŠKABR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OPĆINA ŠKABRN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1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VODIČ ZA GRAĐANE</w:t>
      </w: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 xml:space="preserve"> </w:t>
      </w: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PRORAČUN OPĆINE ŠKABRNJA ZA 2021</w:t>
      </w: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. GODINU</w:t>
      </w:r>
    </w:p>
    <w:p w:rsidR="00D565D9" w:rsidRPr="00223BA8" w:rsidRDefault="00D565D9" w:rsidP="00D565D9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br w:type="page"/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Poštovani mještani općine Škabrnja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predstavljam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 „Proračun za građane“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U njemu je prikazano na koji način Općina Škabrnja prikuplja i investira sredstva. Kako bismo Vam omogućili uvid u rad naše Općine i učinili je što transparentnijom nastavljamo s projektom koji se nalazi na našoj službenoj Internet stranici www.opcina-skabrnja.hr.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bismo Vam pokazali za čega planiramo izdvojiti novac iz Proračuna predstavljamo Vam projekt „Proračun za građane“.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Podizanje kvalitete života naših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stanovnika prioritet je i u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  Želim da naša općina bude ugodno mjesto za život  koje će udobnošću i blagostanjem rezultirati većim brojem novorođenčadi i privući nove stanovnike. Želim preokrenuti negativne trendove iseljavanja iz manjih ruralnih sredina u velike gradove koji vladaju u našoj domovini i našu općinu učiniti mjestom doseljavanja, a ne iseljavanja.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u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planiramo brojne i opsežne infrastrukturne projekte.  Planiramo izgradnju memorijalnog centra na Ražovljevoj glavici, izgradnju trafostanice na mjesnom groblju sv.Luka, završetak nov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e općinske upravne zgrade te postavljanje rasvjete na Trgu dr.Franje Tuđmana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Također planiramo ulaganje u građevinsku zonu Vlačine, uvođen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struje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vode , 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uređenje ulaza u selo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te asfaltiranje cesta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Škabrnji i Prkosu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sve ostalo potrebn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za normalan život naših mještana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Značajan dio rashoda se upravo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n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a naved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projekte koji bi učinili ugodniji i kvalitetniji život za svakog 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naše općine.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 djece i mladih je najsigurnije i najisplativije ulaganje u našu budućnosti, stoga planirano stipendije za naše studente u jednokratnoj pomoći od 1.000,00 kuna. 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Roditeljima novorođene djece dodjeljujemo jednokratne novčane naknade u iznosu od 1.000,00 kuna za prvo 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dijete, te za svako iduće 1.000,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Socijalno ugroženim stanovnicima davanjem jednokratne novčane pomoći, naknade za troškove stanovanja te im nastojimo osigurati dostojanstven život.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naše općine djeluju brojne športske, kulturne, braniteljske i druge udruge koje oplemenjuju naš život i omogućavaju pojedincima da prepoznaju i usavrše svoje talente. Zato zaslužuju našu financijsku pomoć, ali i ohrabrenje i poticaj za dalj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rad, kao i pomoć u realizaciji manifestacija koje održavaju. 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Poštovani 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izdvojili smo dio projekata koje želimo realizirati u 202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mislite kako nam je još nešto potrebno kako bismo poboljšali našu Općinu molimo da nam napišete.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Vaše prijedloge, sugestije i komentare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možete ostavljati do 11.12.2020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kada ćemo sve zaprimljeno uzeti u obzir te na sjednici Općinskog vijeća predstaviti, te prihvaćeno uvrstiti u ko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hr-HR"/>
        </w:rPr>
        <w:t>načan prijedlog proračun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Nediljko Bubnjar</w:t>
      </w:r>
    </w:p>
    <w:p w:rsidR="00FF3C83" w:rsidRDefault="00FF3C83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F3C83" w:rsidRDefault="00FF3C83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ŠTO JE PRORAČUN</w:t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856756" cy="1717482"/>
            <wp:effectExtent l="19050" t="0" r="744" b="0"/>
            <wp:docPr id="15" name="Slika 15" descr="Slikovni rezultat za PRORAČ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likovni rezultat za PRORAČU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44" cy="171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akt kojim se procjenjuju prihodi i primici te utvrđuju rashodi i izdaci Općine Škabrnja za proračunsku godinu, a sadrži i projekciju prihoda i primitaka te rashoda i izdataka za slijedeće dvije godine. Proračun je jedan od najvažnijih dokumenata koji se donosi na razini jedinice lokalne samouprave.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ovom Proračunu za građane bit će prikazan sažetak proračuna Općine Škabrnja</w:t>
      </w:r>
      <w:r w:rsidR="003063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 najvažnijim smjernicama razvoja Općine Škabrnja koji pojašnjava planove i aktivnosti. Ovim pregledom Općinskog proračuna želimo omogućiti svim građanima uvid u prihode i rashode Općine Škabrnja kako bi imali transparentnu i potpunu informaciju o tome gdje i kako se troši općinski novac, kao i da bismo potaknuli sve građane na aktivno sudjelovanje u komentiranju, predlaganju i sugeriranju Općinskog proračuna.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4D21B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KAKO SE DONOSI PRORAČUN?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donosi predstavničko tijelo jedinica lokalne samouprave (Općinsko vijeće Općine Škabrnja).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po Zakonu mora donijeti najkasnije do kraja tekuće godine za iduću kalendarsku godinu prema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rijedlogu kojeg utvrđuje općinsk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i načelnik i dostavlja predstavničk</w:t>
      </w:r>
      <w:r w:rsidR="003063F4">
        <w:rPr>
          <w:rFonts w:ascii="Times New Roman" w:eastAsia="Times New Roman" w:hAnsi="Times New Roman" w:cs="Times New Roman"/>
          <w:sz w:val="24"/>
          <w:szCs w:val="24"/>
          <w:lang w:eastAsia="hr-HR"/>
        </w:rPr>
        <w:t>om tijelu najkasnije do 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5. studenog tekuće godine.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proračun ne donese u roku slijedi:</w:t>
      </w:r>
    </w:p>
    <w:p w:rsidR="00D565D9" w:rsidRPr="00223BA8" w:rsidRDefault="00D565D9" w:rsidP="00D565D9">
      <w:pPr>
        <w:pStyle w:val="ListParagraph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financiranje</w:t>
      </w:r>
    </w:p>
    <w:p w:rsidR="00D565D9" w:rsidRPr="00223BA8" w:rsidRDefault="00D565D9" w:rsidP="00D565D9">
      <w:pPr>
        <w:pStyle w:val="ListParagraph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Raspuštanje Općinskog vijeća i Općinskog načelnika</w:t>
      </w:r>
    </w:p>
    <w:p w:rsidR="00D565D9" w:rsidRDefault="00D565D9" w:rsidP="00D565D9">
      <w:pPr>
        <w:pStyle w:val="ListParagraph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Prijevremeni izbori za Općinsko vijeće i općinskog načelnika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Dali se proračun može mijenjati?</w:t>
      </w: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Prora</w:t>
      </w:r>
      <w:r w:rsidR="003063F4">
        <w:rPr>
          <w:rFonts w:ascii="Times New Roman" w:eastAsia="Verdana" w:hAnsi="Times New Roman" w:cs="Times New Roman"/>
          <w:sz w:val="24"/>
          <w:szCs w:val="24"/>
        </w:rPr>
        <w:t xml:space="preserve">čun nije „statičan” akt već se </w:t>
      </w: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sukladno Zakonu može mijenjati tijekom proračunske godine </w:t>
      </w:r>
      <w:r w:rsidRPr="003063F4">
        <w:rPr>
          <w:rFonts w:ascii="Times New Roman" w:eastAsia="Verdana" w:hAnsi="Times New Roman" w:cs="Times New Roman"/>
          <w:bCs/>
          <w:sz w:val="24"/>
          <w:szCs w:val="24"/>
        </w:rPr>
        <w:t>„rebalans”.  Procedura</w:t>
      </w:r>
      <w:r w:rsidRPr="00223BA8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Pr="00223BA8">
        <w:rPr>
          <w:rFonts w:ascii="Times New Roman" w:eastAsia="Verdana" w:hAnsi="Times New Roman" w:cs="Times New Roman"/>
          <w:sz w:val="24"/>
          <w:szCs w:val="24"/>
        </w:rPr>
        <w:t>izmjena Proračuna istovjetna je proceduri njegova donošenja: „rebalans” predlaže načelnik, a donosi Općinsko vijeće.</w:t>
      </w: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D565D9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565D9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565D9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VAŽNA STAVKA:</w:t>
      </w: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Jedno od najvažnijih načela Proračuna je da isti mora biti uravnotežen = ukupna visina planiranih prihoda mora biti istovjetna ukupnoj visini planiranih rashoda.</w:t>
      </w: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4D21B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D21B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22077" cy="2976338"/>
            <wp:effectExtent l="19050" t="0" r="7123" b="0"/>
            <wp:docPr id="10" name="Slika 2" descr="Slikovni rezultat za uraVNOTEŽE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uraVNOTEŽEN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76" cy="298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 sadržava: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1. Opći dio proračuna sačinjavaju: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prihoda i rashoda u kojem su prikazani svi prihodi i rashodi prema ekonomskoj klasifikaciji (npr. prihodi od poreza, imovine, pristojbi te rashodi za nabavu nefinancijske imovine, rashodi za usluge tekućeg i investicijskog održavanja, rashodi za zaposlene, financijski rashodi). 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Slikoviti prikaz općeg dijela proračuna: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223BA8">
        <w:rPr>
          <w:noProof/>
          <w:lang w:eastAsia="hr-HR"/>
        </w:rPr>
        <w:drawing>
          <wp:inline distT="0" distB="0" distL="0" distR="0">
            <wp:extent cx="5375275" cy="3260090"/>
            <wp:effectExtent l="19050" t="0" r="0" b="0"/>
            <wp:docPr id="9" name="Slika 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Poseban dio proračuna sačinjava: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proračunskih korisnika iskazanih po vrstama, raspoređenih u programe koji se sastoje od aktivnosti i projekata. Unutar svakog od razdjela nalaze se programi i aktivnosti koji se planiraju financirati, a u okviru područja nadležnosti općinske uprave.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Plan razvojnih programa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Plan razvojnih programa sadrži strateški planirane rashode na nefinancijskoj imovini i plan kapitalnih pomoći i donacija iskazanih po izvorima prihoda za izvedbu programa. Što znači da se u planu razvojnih programa detaljno planiraju rashodi po programima za tri godine koji moraju biti mjerljivi i unose se u kolonu pokazatelji rezultata. Ovime se postižu veći rezultati u ostvarenju pojedinih ciljeva. Plan razvojnih programa sastavni je dio proračuna.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Proračunski korisnici: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 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Općine Škabrnja je Dječji vrtić Maruškica.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Zakoni i sankcije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PRIHODI I PRIMICI POSLOVANJA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prihodi i</w:t>
      </w:r>
      <w:r w:rsidR="003063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primici Općine Škabrnja za 2021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</w:t>
      </w:r>
      <w:r w:rsidR="003063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inu planirani su u iznosu od 5.57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0.000,00 kuna.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028164" cy="2029080"/>
            <wp:effectExtent l="19050" t="0" r="0" b="0"/>
            <wp:docPr id="18" name="Slika 18" descr="Slikovni rezultat za K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likovni rezultat za KU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84" cy="202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poslovanja</w:t>
      </w:r>
    </w:p>
    <w:p w:rsidR="00D565D9" w:rsidRDefault="00D565D9" w:rsidP="00D565D9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poslovanja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="003063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</w:t>
      </w:r>
      <w:r w:rsidR="003063F4">
        <w:rPr>
          <w:rFonts w:ascii="Times New Roman" w:eastAsia="Times New Roman" w:hAnsi="Times New Roman" w:cs="Times New Roman"/>
          <w:sz w:val="24"/>
          <w:szCs w:val="24"/>
          <w:lang w:eastAsia="hr-HR"/>
        </w:rPr>
        <w:t>nu planirani su u iznosu od 5.57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kuna, a čine ih: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poreza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3.198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od toga porez i prirez na do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>hodak planiran u iznosu od 3.143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porezi na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imovinu planirani u iznosu od 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kuna i porezi na robu i usluge planirani u iznosu od 15.000,00 kuna;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EE5C7C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 inozemstva i od subjekta unutar općeg proračuna -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u iznosu od 1.524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od toga pomoći od međunarodnih organizacija,te institucija i ti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>jela EU iz planirane u iznosu 30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kuna, pomoći proračunu iz drugih proračuna planirane su u iznosu o</w:t>
      </w:r>
      <w:r w:rsidR="008E4CDE">
        <w:rPr>
          <w:rFonts w:ascii="Times New Roman" w:eastAsia="Times New Roman" w:hAnsi="Times New Roman" w:cs="Times New Roman"/>
          <w:sz w:val="24"/>
          <w:szCs w:val="24"/>
          <w:lang w:eastAsia="hr-HR"/>
        </w:rPr>
        <w:t>d 10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kuna, kapitalne pomoći </w:t>
      </w:r>
      <w:r w:rsidR="00B87C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iz drugih proračuna u iznosu od 620.000,00kn, kapitalne pomoći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od izvan proračunskih koris</w:t>
      </w:r>
      <w:r w:rsidR="00B87CBA">
        <w:rPr>
          <w:rFonts w:ascii="Times New Roman" w:eastAsia="Times New Roman" w:hAnsi="Times New Roman" w:cs="Times New Roman"/>
          <w:sz w:val="24"/>
          <w:szCs w:val="24"/>
          <w:lang w:eastAsia="hr-HR"/>
        </w:rPr>
        <w:t>nika planirane su u iznosu od 100.000,00 kuna,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proračunskim korisnicima iz proračuna koji im nije nadl</w:t>
      </w:r>
      <w:r w:rsidR="00B87C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ežan planirane su u iznosu od 4.000,00kn te 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kapitalne pomoći temeljem prijenosa EU sredstava u iznosu od 400.000,00kn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imovine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 36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kuna, od toga prihodi od financijske 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planirani u iznosu od 5.5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kuna i prihodi od nefinancijske 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planirani u iznosu od 30.5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po posebnim propisima i naknada</w:t>
      </w:r>
      <w:r w:rsidR="00F97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</w:t>
      </w:r>
      <w:r w:rsidR="00B02BC1">
        <w:rPr>
          <w:rFonts w:ascii="Times New Roman" w:eastAsia="Times New Roman" w:hAnsi="Times New Roman" w:cs="Times New Roman"/>
          <w:sz w:val="24"/>
          <w:szCs w:val="24"/>
          <w:lang w:eastAsia="hr-HR"/>
        </w:rPr>
        <w:t>585.5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od toga upravne i administrativne pri</w:t>
      </w:r>
      <w:r w:rsidR="00B02BC1">
        <w:rPr>
          <w:rFonts w:ascii="Times New Roman" w:eastAsia="Times New Roman" w:hAnsi="Times New Roman" w:cs="Times New Roman"/>
          <w:sz w:val="24"/>
          <w:szCs w:val="24"/>
          <w:lang w:eastAsia="hr-HR"/>
        </w:rPr>
        <w:t>stojbe planirane u iznosu od 173.5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prihodi po posebnim pro</w:t>
      </w:r>
      <w:r w:rsidR="00B02BC1">
        <w:rPr>
          <w:rFonts w:ascii="Times New Roman" w:eastAsia="Times New Roman" w:hAnsi="Times New Roman" w:cs="Times New Roman"/>
          <w:sz w:val="24"/>
          <w:szCs w:val="24"/>
          <w:lang w:eastAsia="hr-HR"/>
        </w:rPr>
        <w:t>pisima planirani u iznosu od 317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i komunalni doprinosi i naknade planirani u iznos</w:t>
      </w:r>
      <w:r w:rsidR="00B02BC1">
        <w:rPr>
          <w:rFonts w:ascii="Times New Roman" w:eastAsia="Times New Roman" w:hAnsi="Times New Roman" w:cs="Times New Roman"/>
          <w:sz w:val="24"/>
          <w:szCs w:val="24"/>
          <w:lang w:eastAsia="hr-HR"/>
        </w:rPr>
        <w:t>u od 95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kuna.</w:t>
      </w:r>
    </w:p>
    <w:p w:rsidR="00FF1988" w:rsidRPr="00FF1988" w:rsidRDefault="00FF1988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5. </w:t>
      </w:r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Donacije od pravnih i fiz.osoba izvan općeg prorač.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donacije planirane su u iznosu od 20.000,00kn</w:t>
      </w:r>
    </w:p>
    <w:p w:rsidR="00D565D9" w:rsidRPr="00223BA8" w:rsidRDefault="00FF1988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565D9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48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Ostali </w:t>
      </w:r>
      <w:r w:rsidR="00D565D9"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prihodi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11</w:t>
      </w:r>
      <w:r w:rsidR="00D565D9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kuna;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prodaje nefinancijske imovine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nefinancijske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imovine Općine Škabrnja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inu planirani su u iznosu od 14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kuna, a čine ih prihodi od prodaje 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mat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erijalne imovine u iznosu od 100.000,00 ku</w:t>
      </w:r>
      <w:r w:rsidR="0058218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 prihodi od prodaje građ.o</w:t>
      </w:r>
      <w:r w:rsidR="003D4841">
        <w:rPr>
          <w:rFonts w:ascii="Times New Roman" w:eastAsia="Times New Roman" w:hAnsi="Times New Roman" w:cs="Times New Roman"/>
          <w:sz w:val="24"/>
          <w:szCs w:val="24"/>
          <w:lang w:eastAsia="hr-HR"/>
        </w:rPr>
        <w:t>bjekata  u iznosu od 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kuna.</w:t>
      </w:r>
    </w:p>
    <w:p w:rsidR="00D565D9" w:rsidRPr="00223BA8" w:rsidRDefault="00D565D9" w:rsidP="00D565D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E16009" w:rsidP="00D565D9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="t" fillcolor="#a0a0a0" stroked="f"/>
        </w:pict>
      </w:r>
    </w:p>
    <w:p w:rsidR="00D565D9" w:rsidRPr="00223BA8" w:rsidRDefault="00D565D9" w:rsidP="00D565D9">
      <w:pPr>
        <w:shd w:val="clear" w:color="auto" w:fill="FFFFFF"/>
        <w:spacing w:before="63" w:after="12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 Općine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Škabrnja</w:t>
      </w:r>
      <w:r w:rsidR="00120D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2021</w:t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:rsidR="00D565D9" w:rsidRPr="00223BA8" w:rsidRDefault="00D565D9" w:rsidP="00D565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prihodi i primici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5"/>
        <w:gridCol w:w="2097"/>
        <w:gridCol w:w="1173"/>
      </w:tblGrid>
      <w:tr w:rsidR="00D565D9" w:rsidRPr="00223BA8" w:rsidTr="00BA07BB">
        <w:tc>
          <w:tcPr>
            <w:tcW w:w="7035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 primici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58218F" w:rsidP="008E2A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5.430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120D34" w:rsidRDefault="00120D34" w:rsidP="00120D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97,49</w:t>
            </w:r>
            <w:r w:rsidR="00D565D9" w:rsidRPr="0012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 od poreza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58218F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3.253</w:t>
            </w:r>
            <w:r w:rsidR="003D48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58,41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iz inozemstva i od subjekata unutar općeg proračuna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1.524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27,36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585.5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10,51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58218F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218F" w:rsidRPr="00223BA8" w:rsidRDefault="0058218F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&gt;Donacije od pravnih i fiz.osoba izvan općeg prorač.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218F" w:rsidRDefault="0058218F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218F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0,36%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3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O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stali prihodi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0,20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120D34" w:rsidRDefault="00120D34" w:rsidP="00120D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2,51</w:t>
            </w:r>
            <w:r w:rsidR="00D565D9" w:rsidRPr="0012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prodaje neproizvedene dugotrajne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120D34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2,51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65D9" w:rsidRPr="00223BA8" w:rsidTr="00BA07BB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565D9" w:rsidRPr="00223BA8" w:rsidTr="00BA07BB">
        <w:tc>
          <w:tcPr>
            <w:tcW w:w="0" w:type="auto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120D34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3D4841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5.57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628FD" w:rsidRDefault="002628FD" w:rsidP="002628F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628FD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UKUPNI PRIHODI I PRIMICI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28FD" w:rsidRDefault="002628FD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28FD" w:rsidRDefault="002628FD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28FD" w:rsidRDefault="002628FD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28FD" w:rsidRDefault="002628FD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7AA80AB8" wp14:editId="1BB01BB9">
            <wp:simplePos x="0" y="0"/>
            <wp:positionH relativeFrom="column">
              <wp:posOffset>-193040</wp:posOffset>
            </wp:positionH>
            <wp:positionV relativeFrom="paragraph">
              <wp:posOffset>21590</wp:posOffset>
            </wp:positionV>
            <wp:extent cx="6471920" cy="7012940"/>
            <wp:effectExtent l="0" t="0" r="508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8FD" w:rsidRDefault="002628FD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4D21B8" w:rsidRDefault="00D565D9" w:rsidP="00D565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RASHODI I IZDACI POSLOVANJA</w:t>
      </w:r>
    </w:p>
    <w:p w:rsidR="00D565D9" w:rsidRDefault="00D565D9" w:rsidP="00D565D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Ukupni rashodi </w:t>
      </w:r>
      <w:r w:rsidR="00120D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izdaci Općine Škabrnja za 2021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godinu planirani su u iznosu od </w:t>
      </w:r>
      <w:r w:rsid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5.570.000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kuna.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60720" cy="3235894"/>
            <wp:effectExtent l="19050" t="0" r="0" b="0"/>
            <wp:docPr id="12" name="Slika 12" descr="Slikovni rezultat za RASH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RASHOD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poslovanja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</w:t>
      </w:r>
      <w:r w:rsidR="00FF1988">
        <w:rPr>
          <w:rFonts w:ascii="Times New Roman" w:eastAsia="Times New Roman" w:hAnsi="Times New Roman" w:cs="Times New Roman"/>
          <w:sz w:val="24"/>
          <w:szCs w:val="24"/>
          <w:lang w:eastAsia="hr-HR"/>
        </w:rPr>
        <w:t>slovanja Općine Škabrnja za 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u iznosu od </w:t>
      </w:r>
      <w:r w:rsidR="00FF1988">
        <w:rPr>
          <w:rFonts w:ascii="Times New Roman" w:eastAsia="Times New Roman" w:hAnsi="Times New Roman" w:cs="Times New Roman"/>
          <w:sz w:val="24"/>
          <w:szCs w:val="24"/>
          <w:lang w:eastAsia="hr-HR"/>
        </w:rPr>
        <w:t>3.249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a čine ih: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zaposlene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</w:t>
      </w:r>
      <w:r w:rsidR="00FF1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anirani u iznosu od 1.519.500,00 kuna, od toga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(br</w:t>
      </w:r>
      <w:r w:rsidR="00FF1988">
        <w:rPr>
          <w:rFonts w:ascii="Times New Roman" w:eastAsia="Times New Roman" w:hAnsi="Times New Roman" w:cs="Times New Roman"/>
          <w:sz w:val="24"/>
          <w:szCs w:val="24"/>
          <w:lang w:eastAsia="hr-HR"/>
        </w:rPr>
        <w:t>uto) planirane u iznosu od 1.295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ostali rashodi za za</w:t>
      </w:r>
      <w:r w:rsidR="00FF1988">
        <w:rPr>
          <w:rFonts w:ascii="Times New Roman" w:eastAsia="Times New Roman" w:hAnsi="Times New Roman" w:cs="Times New Roman"/>
          <w:sz w:val="24"/>
          <w:szCs w:val="24"/>
          <w:lang w:eastAsia="hr-HR"/>
        </w:rPr>
        <w:t>poslene planirani u iznosu od 14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 kuna i doprinosi na</w:t>
      </w:r>
      <w:r w:rsidR="0042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planirani u iznosu od 210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Materijalni rashodi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4D4">
        <w:rPr>
          <w:rFonts w:ascii="Times New Roman" w:eastAsia="Times New Roman" w:hAnsi="Times New Roman" w:cs="Times New Roman"/>
          <w:sz w:val="24"/>
          <w:szCs w:val="24"/>
          <w:lang w:eastAsia="hr-HR"/>
        </w:rPr>
        <w:t>- planirani u iznosu od 1.204.2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od toga naknade troškova zapo</w:t>
      </w:r>
      <w:r w:rsidR="004264D4">
        <w:rPr>
          <w:rFonts w:ascii="Times New Roman" w:eastAsia="Times New Roman" w:hAnsi="Times New Roman" w:cs="Times New Roman"/>
          <w:sz w:val="24"/>
          <w:szCs w:val="24"/>
          <w:lang w:eastAsia="hr-HR"/>
        </w:rPr>
        <w:t>slenima planirane u iznosu od 50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rashodi za materijal i en</w:t>
      </w:r>
      <w:r w:rsidR="004264D4">
        <w:rPr>
          <w:rFonts w:ascii="Times New Roman" w:eastAsia="Times New Roman" w:hAnsi="Times New Roman" w:cs="Times New Roman"/>
          <w:sz w:val="24"/>
          <w:szCs w:val="24"/>
          <w:lang w:eastAsia="hr-HR"/>
        </w:rPr>
        <w:t>ergiju planirani u iznosu od 352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.500,00 kuna, rashodi za 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planirani u iznosu od 505.000,00 kuna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ostali nespomenuti rashodi posl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>ovanja planirani u iznosu od 296.7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41.5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kuna, a odnose se na kamate za primljene kredite i 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zajmove,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te ostale financijske rashode.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dane u inozemstvo i unutar općeg proračuna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2.500,00 kuna te se odnose na pomoći unutar općeg proračuna.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145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za ostale naknade građanima i kućanstvima iz proračuna.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rashodi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336.3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kuna, 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>a odnose se na  tekuće donacije.</w:t>
      </w:r>
    </w:p>
    <w:p w:rsidR="00D565D9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092C" w:rsidRDefault="00FF092C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092C" w:rsidRDefault="00FF092C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nabavu nefinancijske imovine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imovine planirani u iznosu od 2.191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a čine ih: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neproizvedene dugotrajne imovine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100.000,00 kuna,  a odnose se na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nemate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>rijalnu imovinu.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proizvedene dugotrajne imovine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2.091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od toga građevinski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objekti planirani u iznosu od 1.9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20.000,00 kuna, postrojenja i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 planirana u iznosu od 74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kuna, knjige, umjetnička djela i ostale 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>izložbe planirani su iznosu od 2.000,00 kuna te višegodišnji nasadi planirani u iznosu od 30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kuna.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Izdaci za financijsku imovinu</w:t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Izdaci za financijsku imovinu</w:t>
      </w:r>
      <w:r w:rsidR="00FF09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130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a čine ih izdaci za otplatu glavnice primljenih kredita i zajmova.</w:t>
      </w:r>
    </w:p>
    <w:p w:rsidR="00D565D9" w:rsidRDefault="00D565D9" w:rsidP="00D56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rashodi i izdaci</w:t>
      </w:r>
    </w:p>
    <w:tbl>
      <w:tblPr>
        <w:tblW w:w="99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0"/>
        <w:gridCol w:w="1758"/>
        <w:gridCol w:w="1919"/>
        <w:gridCol w:w="730"/>
      </w:tblGrid>
      <w:tr w:rsidR="00D565D9" w:rsidRPr="00223BA8" w:rsidTr="002A4D24">
        <w:trPr>
          <w:trHeight w:val="135"/>
        </w:trPr>
        <w:tc>
          <w:tcPr>
            <w:tcW w:w="5590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758" w:type="dxa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2649" w:type="dxa"/>
            <w:gridSpan w:val="2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3.249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FF09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58,33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zaposlene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1.519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27,28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Materijalni rashodi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1.204.2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21,62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Financijski rashodi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0,75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dane u inozemstvo i unutar općeg proračuna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0,04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Naknade građanima i kućanstvima na temelju osiguranja i druge naknade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2,6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Ostali rashodi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336.3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6,52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2.191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FF09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39,34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neproizvedene dugotrajne imovine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1,79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proizvedene dugotrajne imovine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2.091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37,54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130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FF092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2,33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&gt;Otplata glavnice primljenih kredita i zajmova od kreditnih i ostalih financijskih institucija u javnom sektoru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FF092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0,90</w:t>
            </w:r>
            <w:r w:rsidR="00D565D9"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&gt;Otpala glavnice primljenih kredita i zajmova od kreditnih i ostalih financijskih institucija izvan javnog sektora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</w:t>
            </w:r>
            <w:r w:rsidR="00D565D9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FF092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1,45</w:t>
            </w:r>
            <w:r w:rsidR="00D565D9"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565D9" w:rsidRPr="00223BA8" w:rsidTr="002A4D24">
        <w:trPr>
          <w:trHeight w:val="135"/>
        </w:trPr>
        <w:tc>
          <w:tcPr>
            <w:tcW w:w="5590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758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5D9" w:rsidRPr="00223BA8" w:rsidRDefault="00FF7A25" w:rsidP="00BA07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5.57</w:t>
            </w:r>
            <w:r w:rsidR="00D565D9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2649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65D9" w:rsidRPr="00223BA8" w:rsidTr="002A4D24">
        <w:trPr>
          <w:gridAfter w:val="1"/>
          <w:wAfter w:w="730" w:type="dxa"/>
          <w:trHeight w:val="135"/>
        </w:trPr>
        <w:tc>
          <w:tcPr>
            <w:tcW w:w="55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65D9" w:rsidRPr="00223BA8" w:rsidRDefault="00D565D9" w:rsidP="00BA07BB">
            <w:pPr>
              <w:spacing w:before="63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65D9" w:rsidRPr="00223BA8" w:rsidTr="002A4D24">
        <w:trPr>
          <w:gridAfter w:val="1"/>
          <w:wAfter w:w="730" w:type="dxa"/>
          <w:trHeight w:val="317"/>
        </w:trPr>
        <w:tc>
          <w:tcPr>
            <w:tcW w:w="55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5D9" w:rsidRPr="00223BA8" w:rsidRDefault="00D565D9" w:rsidP="00BA07BB">
            <w:pPr>
              <w:spacing w:before="63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5D9" w:rsidRPr="00223BA8" w:rsidRDefault="00D565D9" w:rsidP="00BA0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65D9" w:rsidRPr="00223BA8" w:rsidTr="002A4D24">
        <w:trPr>
          <w:gridAfter w:val="1"/>
          <w:wAfter w:w="730" w:type="dxa"/>
          <w:trHeight w:val="8260"/>
        </w:trPr>
        <w:tc>
          <w:tcPr>
            <w:tcW w:w="55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65D9" w:rsidRDefault="00D565D9" w:rsidP="00BA07BB"/>
        </w:tc>
        <w:tc>
          <w:tcPr>
            <w:tcW w:w="17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8FD" w:rsidRDefault="002628FD" w:rsidP="00BA07BB"/>
          <w:p w:rsidR="002628FD" w:rsidRPr="002628FD" w:rsidRDefault="002628FD" w:rsidP="002628FD"/>
          <w:p w:rsidR="002628FD" w:rsidRPr="002628FD" w:rsidRDefault="002628FD" w:rsidP="002628FD"/>
          <w:p w:rsidR="002628FD" w:rsidRPr="002628FD" w:rsidRDefault="002628FD" w:rsidP="002628FD"/>
          <w:p w:rsidR="002628FD" w:rsidRPr="002628FD" w:rsidRDefault="002628FD" w:rsidP="002628FD"/>
          <w:p w:rsidR="00D565D9" w:rsidRPr="002628FD" w:rsidRDefault="00D565D9" w:rsidP="002628FD"/>
        </w:tc>
        <w:tc>
          <w:tcPr>
            <w:tcW w:w="19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65D9" w:rsidRDefault="00D565D9" w:rsidP="00BA07BB"/>
        </w:tc>
      </w:tr>
    </w:tbl>
    <w:p w:rsidR="00D565D9" w:rsidRDefault="002A4D24" w:rsidP="00D565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hr-HR"/>
        </w:rPr>
        <w:lastRenderedPageBreak/>
        <w:drawing>
          <wp:inline distT="0" distB="0" distL="0" distR="0" wp14:anchorId="79E7E2C7" wp14:editId="4FF3D365">
            <wp:extent cx="6710901" cy="5557961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D565D9" w:rsidRDefault="00D565D9" w:rsidP="00D565D9">
      <w:pPr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Tijekom proračunske godine, a u slučaju da se, zbog nastanka</w:t>
      </w:r>
      <w:r w:rsidRPr="00223BA8">
        <w:rPr>
          <w:rFonts w:ascii="Times New Roman" w:eastAsia="Verdana" w:hAnsi="Times New Roman" w:cs="Times New Roman"/>
          <w:sz w:val="24"/>
          <w:szCs w:val="24"/>
          <w:lang w:val="pl-PL"/>
        </w:rPr>
        <w:t xml:space="preserve"> novih obveza za proračun ili promjena gospodarskih kretanja, </w:t>
      </w:r>
      <w:r w:rsidRPr="00223BA8">
        <w:rPr>
          <w:rFonts w:ascii="Times New Roman" w:eastAsia="Verdana" w:hAnsi="Times New Roman" w:cs="Times New Roman"/>
          <w:sz w:val="24"/>
          <w:szCs w:val="24"/>
        </w:rPr>
        <w:t>povećaju rashodi i/ili izdaci odnosno smanjenje prihoda i/ili primici, načelnik može na prijedlog Upravnog odijela nadležnog za financije obustaviti izvršavanje pojedinih rashoda i/ili izdataka.</w:t>
      </w:r>
    </w:p>
    <w:p w:rsidR="00D565D9" w:rsidRPr="00223BA8" w:rsidRDefault="00D565D9" w:rsidP="00D565D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D565D9" w:rsidRPr="00223BA8" w:rsidRDefault="00D565D9" w:rsidP="00D565D9">
      <w:pPr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bCs/>
          <w:sz w:val="24"/>
          <w:szCs w:val="24"/>
        </w:rPr>
        <w:t>POSEBNI DIO P</w:t>
      </w:r>
      <w:r w:rsidR="00E92717">
        <w:rPr>
          <w:rFonts w:ascii="Times New Roman" w:hAnsi="Times New Roman" w:cs="Times New Roman"/>
          <w:b/>
          <w:bCs/>
          <w:sz w:val="24"/>
          <w:szCs w:val="24"/>
        </w:rPr>
        <w:t>RORAČUNA OPĆINE ŠKABRNJA ZA 2021</w:t>
      </w:r>
      <w:r w:rsidRPr="00223BA8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 xml:space="preserve">Posebni dio Proračuna sastoji se od rashoda raspoređenih po programima koji se sastoje od aktivnosti, tekućih i kapitalnih projekata, unutar glava i razdjela definiranih u skladu s organizacijskom klasifikacijom Proračuna. 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Tablicom su prikazani svi definirani programi u P</w:t>
      </w:r>
      <w:r w:rsidR="00E92717">
        <w:rPr>
          <w:rFonts w:ascii="Times New Roman" w:hAnsi="Times New Roman" w:cs="Times New Roman"/>
          <w:color w:val="auto"/>
        </w:rPr>
        <w:t>roračunu Općine Škabrnja za 2021</w:t>
      </w:r>
      <w:r w:rsidRPr="00223BA8">
        <w:rPr>
          <w:rFonts w:ascii="Times New Roman" w:hAnsi="Times New Roman" w:cs="Times New Roman"/>
          <w:color w:val="auto"/>
        </w:rPr>
        <w:t xml:space="preserve">. 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godinu.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31"/>
        <w:gridCol w:w="4933"/>
      </w:tblGrid>
      <w:tr w:rsidR="00D565D9" w:rsidRPr="00223BA8" w:rsidTr="00BA07BB">
        <w:tc>
          <w:tcPr>
            <w:tcW w:w="4531" w:type="dxa"/>
            <w:shd w:val="clear" w:color="auto" w:fill="D9D9D9" w:themeFill="background1" w:themeFillShade="D9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bCs/>
                <w:color w:val="auto"/>
              </w:rPr>
              <w:t xml:space="preserve">BROJČANA OZNAKA PROGRAMA </w:t>
            </w:r>
          </w:p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NAZIV PROGRAMA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  <w:r w:rsidR="00D14CC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Djelatnost općinskog vijeća i načelnika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001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Redovna djelatnost (Juo)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002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Komunalni pogon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003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Održ. objekata i uređenje komun. infrastrukture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004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Izgradnja komunalne infrastrukture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005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Zaštita od požara i civilna zaštita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14CCF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2006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kulturi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14CCF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2007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športu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008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školstvu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009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Predškolski odgoj i obrazovanje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010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Socijalna skrb i novčane pomoći</w:t>
            </w:r>
          </w:p>
        </w:tc>
      </w:tr>
      <w:tr w:rsidR="00D565D9" w:rsidRPr="00223BA8" w:rsidTr="00BA07BB">
        <w:tc>
          <w:tcPr>
            <w:tcW w:w="4531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 w:rsidR="00D14CCF">
              <w:rPr>
                <w:rFonts w:ascii="Times New Roman" w:hAnsi="Times New Roman" w:cs="Times New Roman"/>
                <w:color w:val="auto"/>
              </w:rPr>
              <w:t>011</w:t>
            </w:r>
          </w:p>
        </w:tc>
        <w:tc>
          <w:tcPr>
            <w:tcW w:w="4933" w:type="dxa"/>
          </w:tcPr>
          <w:p w:rsidR="00D565D9" w:rsidRPr="00223BA8" w:rsidRDefault="00D565D9" w:rsidP="00BA07B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Zdravstvena zaštita</w:t>
            </w:r>
          </w:p>
        </w:tc>
      </w:tr>
    </w:tbl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Obrazloženje planiranih aktivnosti i projekata po proračunskim razdjelima, glavama i programima planiranim u posebnom dijelu proračuna daje se u nastavku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Djelatnost općinskog vijeća i općinskog načelnika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B1034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B10349">
        <w:rPr>
          <w:rFonts w:ascii="Times New Roman" w:hAnsi="Times New Roman" w:cs="Times New Roman"/>
          <w:b/>
          <w:i/>
          <w:sz w:val="24"/>
          <w:szCs w:val="24"/>
        </w:rPr>
        <w:t>00001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– Poslovanje općinskog vijeća – u okviru ove aktivnosti planirane su naknade i ostali troškovi za rad općinskog vijeća u iznosu od 50.000,00 kn</w:t>
      </w:r>
    </w:p>
    <w:p w:rsidR="00D565D9" w:rsidRPr="00223BA8" w:rsidRDefault="00B1034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B10349">
        <w:rPr>
          <w:rFonts w:ascii="Times New Roman" w:hAnsi="Times New Roman" w:cs="Times New Roman"/>
          <w:b/>
          <w:i/>
          <w:sz w:val="24"/>
          <w:szCs w:val="24"/>
        </w:rPr>
        <w:t>00002-</w:t>
      </w:r>
      <w:r w:rsidR="00D565D9" w:rsidRPr="00223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>Poslovanje općinskog načelnika- u okviru ove aktivnosti planirani troškovi službenih putovanja, goriva, usluge telefona te troškova reprezentacije op</w:t>
      </w:r>
      <w:r>
        <w:rPr>
          <w:rFonts w:ascii="Times New Roman" w:hAnsi="Times New Roman" w:cs="Times New Roman"/>
          <w:sz w:val="24"/>
          <w:szCs w:val="24"/>
        </w:rPr>
        <w:t>ćinskog načelnika u iznosu od 81.5</w:t>
      </w:r>
      <w:r w:rsidR="00D565D9" w:rsidRPr="00223BA8">
        <w:rPr>
          <w:rFonts w:ascii="Times New Roman" w:hAnsi="Times New Roman" w:cs="Times New Roman"/>
          <w:sz w:val="24"/>
          <w:szCs w:val="24"/>
        </w:rPr>
        <w:t>00,00 kuna.</w:t>
      </w:r>
    </w:p>
    <w:p w:rsidR="00D565D9" w:rsidRPr="00223BA8" w:rsidRDefault="00B1034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B10349">
        <w:rPr>
          <w:rFonts w:ascii="Times New Roman" w:hAnsi="Times New Roman" w:cs="Times New Roman"/>
          <w:b/>
          <w:i/>
          <w:sz w:val="24"/>
          <w:szCs w:val="24"/>
        </w:rPr>
        <w:t>00003</w:t>
      </w:r>
      <w:r w:rsidR="00D565D9" w:rsidRPr="00223B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65D9" w:rsidRPr="00223BA8">
        <w:rPr>
          <w:rFonts w:ascii="Times New Roman" w:hAnsi="Times New Roman" w:cs="Times New Roman"/>
          <w:sz w:val="24"/>
          <w:szCs w:val="24"/>
        </w:rPr>
        <w:t>Obilježavanje Dana Općine, Velike Gospe, Dana Stradanja i sl</w:t>
      </w:r>
      <w:r w:rsidR="00D565D9">
        <w:rPr>
          <w:rFonts w:ascii="Times New Roman" w:hAnsi="Times New Roman" w:cs="Times New Roman"/>
          <w:sz w:val="24"/>
          <w:szCs w:val="24"/>
        </w:rPr>
        <w:t>ično</w:t>
      </w:r>
      <w:r w:rsidR="00D565D9" w:rsidRPr="00223BA8">
        <w:rPr>
          <w:rFonts w:ascii="Times New Roman" w:hAnsi="Times New Roman" w:cs="Times New Roman"/>
          <w:sz w:val="24"/>
          <w:szCs w:val="24"/>
        </w:rPr>
        <w:t>.- u ovoj aktivnosti planirani su troškovi autorskih honorara, reprezentacije, te ostali nespomenuti troškovi. Aktivn</w:t>
      </w:r>
      <w:r>
        <w:rPr>
          <w:rFonts w:ascii="Times New Roman" w:hAnsi="Times New Roman" w:cs="Times New Roman"/>
          <w:sz w:val="24"/>
          <w:szCs w:val="24"/>
        </w:rPr>
        <w:t>ost je planirana u iznosu od 89.2</w:t>
      </w:r>
      <w:r w:rsidR="00D565D9" w:rsidRPr="00223BA8">
        <w:rPr>
          <w:rFonts w:ascii="Times New Roman" w:hAnsi="Times New Roman" w:cs="Times New Roman"/>
          <w:sz w:val="24"/>
          <w:szCs w:val="24"/>
        </w:rPr>
        <w:t>00,00 kuna.</w:t>
      </w:r>
    </w:p>
    <w:p w:rsidR="00D565D9" w:rsidRDefault="00B1034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B10349">
        <w:rPr>
          <w:rFonts w:ascii="Times New Roman" w:hAnsi="Times New Roman" w:cs="Times New Roman"/>
          <w:b/>
          <w:i/>
          <w:sz w:val="24"/>
          <w:szCs w:val="24"/>
        </w:rPr>
        <w:t>00004</w:t>
      </w:r>
      <w:r w:rsidR="00D565D9" w:rsidRPr="00223B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65D9" w:rsidRPr="00223BA8">
        <w:rPr>
          <w:rFonts w:ascii="Times New Roman" w:hAnsi="Times New Roman" w:cs="Times New Roman"/>
          <w:sz w:val="24"/>
          <w:szCs w:val="24"/>
        </w:rPr>
        <w:t>Pokroviteljstvo i donacije(političkim strankama)- Aktivnost je planirana u iznosu od 15.000,00 kuna.</w:t>
      </w:r>
    </w:p>
    <w:p w:rsidR="00B10349" w:rsidRPr="00B10349" w:rsidRDefault="00B1034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A1000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Lokalni izbori- aktivnost je planirana u iznosu od 80.000,00kn. </w:t>
      </w: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Redovna djelatnost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B10349" w:rsidP="00D565D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A100005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565D9" w:rsidRPr="00223BA8">
        <w:rPr>
          <w:rFonts w:ascii="Times New Roman" w:hAnsi="Times New Roman" w:cs="Times New Roman"/>
          <w:sz w:val="24"/>
          <w:szCs w:val="24"/>
        </w:rPr>
        <w:t>Izvršna uprava i administracija odjela – Rashodi funkcioniranja jedinstvenog upravnog odje</w:t>
      </w:r>
      <w:r w:rsidR="00BF6AAE">
        <w:rPr>
          <w:rFonts w:ascii="Times New Roman" w:hAnsi="Times New Roman" w:cs="Times New Roman"/>
          <w:sz w:val="24"/>
          <w:szCs w:val="24"/>
        </w:rPr>
        <w:t>la, planirani su u iznosu od 767.0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00,00 kuna, a odnose se na rashode za zaposlene, </w:t>
      </w:r>
      <w:r w:rsidR="00D565D9" w:rsidRPr="00223BA8">
        <w:rPr>
          <w:rFonts w:ascii="Times New Roman" w:hAnsi="Times New Roman" w:cs="Times New Roman"/>
          <w:sz w:val="24"/>
          <w:szCs w:val="24"/>
          <w:lang w:eastAsia="hr-HR"/>
        </w:rPr>
        <w:t>stručno usavršavanje zaposlenika, ostale naknade troškova zaposlenih, usluge telefona pošte i prijevoza, premije osiguranja, reprezentacija, članarine, pristojbe i naknade, božićno kićenje, financijske  rashode, kamate za primljene kredite i zajmove, bankarske usluge i usluge platnog prometa, zatezne kamate iz poslovnih odnosa i dr</w:t>
      </w:r>
      <w:r w:rsidR="00D565D9">
        <w:rPr>
          <w:rFonts w:ascii="Times New Roman" w:hAnsi="Times New Roman" w:cs="Times New Roman"/>
          <w:sz w:val="24"/>
          <w:szCs w:val="24"/>
          <w:lang w:eastAsia="hr-HR"/>
        </w:rPr>
        <w:t>ugo</w:t>
      </w:r>
      <w:r w:rsidR="00D565D9" w:rsidRPr="00223BA8">
        <w:rPr>
          <w:rFonts w:ascii="Times New Roman" w:hAnsi="Times New Roman" w:cs="Times New Roman"/>
          <w:sz w:val="24"/>
          <w:szCs w:val="24"/>
          <w:lang w:eastAsia="hr-HR"/>
        </w:rPr>
        <w:t>, pomoći unu</w:t>
      </w:r>
      <w:r w:rsidR="00D565D9">
        <w:rPr>
          <w:rFonts w:ascii="Times New Roman" w:hAnsi="Times New Roman" w:cs="Times New Roman"/>
          <w:sz w:val="24"/>
          <w:szCs w:val="24"/>
          <w:lang w:eastAsia="hr-HR"/>
        </w:rPr>
        <w:t>tar općeg proračuna, otplatu glavnice primljenih</w:t>
      </w:r>
      <w:r w:rsidR="00D565D9" w:rsidRPr="00223BA8">
        <w:rPr>
          <w:rFonts w:ascii="Times New Roman" w:hAnsi="Times New Roman" w:cs="Times New Roman"/>
          <w:sz w:val="24"/>
          <w:szCs w:val="24"/>
          <w:lang w:eastAsia="hr-HR"/>
        </w:rPr>
        <w:t xml:space="preserve"> kredita, te ostale nespomenute rashode poslovanja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100006</w:t>
      </w:r>
      <w:r w:rsidRPr="00223BA8">
        <w:rPr>
          <w:rFonts w:ascii="Times New Roman" w:hAnsi="Times New Roman" w:cs="Times New Roman"/>
          <w:sz w:val="24"/>
          <w:szCs w:val="24"/>
        </w:rPr>
        <w:t>- Rashodi za materijal i energ</w:t>
      </w:r>
      <w:r w:rsidR="00BF6AAE">
        <w:rPr>
          <w:rFonts w:ascii="Times New Roman" w:hAnsi="Times New Roman" w:cs="Times New Roman"/>
          <w:sz w:val="24"/>
          <w:szCs w:val="24"/>
        </w:rPr>
        <w:t>iju , planirani su  iznosu od 24.5</w:t>
      </w:r>
      <w:r w:rsidRPr="00223BA8">
        <w:rPr>
          <w:rFonts w:ascii="Times New Roman" w:hAnsi="Times New Roman" w:cs="Times New Roman"/>
          <w:sz w:val="24"/>
          <w:szCs w:val="24"/>
        </w:rPr>
        <w:t xml:space="preserve">00,00 kuna, a odnose se na  uredski materijal, literaturu, materijal i sredstva za čišćenje, mat.za higijenske potrebe, </w:t>
      </w:r>
      <w:r w:rsidRPr="00223BA8">
        <w:rPr>
          <w:rFonts w:ascii="Times New Roman" w:hAnsi="Times New Roman" w:cs="Times New Roman"/>
          <w:sz w:val="24"/>
          <w:szCs w:val="24"/>
        </w:rPr>
        <w:lastRenderedPageBreak/>
        <w:t>ostali materijal za potrebe redovnog poslovanja, materijal za tekuće i investicijsko održavanje, te sitan inventar i 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gume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100007</w:t>
      </w:r>
      <w:r w:rsidRPr="00223BA8">
        <w:rPr>
          <w:rFonts w:ascii="Times New Roman" w:hAnsi="Times New Roman" w:cs="Times New Roman"/>
          <w:sz w:val="24"/>
          <w:szCs w:val="24"/>
        </w:rPr>
        <w:t>–Tekuće i invest</w:t>
      </w:r>
      <w:r>
        <w:rPr>
          <w:rFonts w:ascii="Times New Roman" w:hAnsi="Times New Roman" w:cs="Times New Roman"/>
          <w:sz w:val="24"/>
          <w:szCs w:val="24"/>
        </w:rPr>
        <w:t>icijsko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3BA8">
        <w:rPr>
          <w:rFonts w:ascii="Times New Roman" w:hAnsi="Times New Roman" w:cs="Times New Roman"/>
          <w:sz w:val="24"/>
          <w:szCs w:val="24"/>
        </w:rPr>
        <w:t>državanje –planirano je u iznosu od 25.000,00 kuna a odnosi se na  usluge tek.održ.građevine, opreme i prijevoznih sredstava, te ostale usluge tekućeg i investicijskog  održavanja.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100008</w:t>
      </w:r>
      <w:r w:rsidRPr="00223BA8">
        <w:rPr>
          <w:rFonts w:ascii="Times New Roman" w:hAnsi="Times New Roman" w:cs="Times New Roman"/>
          <w:sz w:val="24"/>
          <w:szCs w:val="24"/>
        </w:rPr>
        <w:t>– Promidžba i Web stranica općine –planirano je u iznosu od  15</w:t>
      </w:r>
      <w:r>
        <w:rPr>
          <w:rFonts w:ascii="Times New Roman" w:hAnsi="Times New Roman" w:cs="Times New Roman"/>
          <w:sz w:val="24"/>
          <w:szCs w:val="24"/>
        </w:rPr>
        <w:t>.000,00 kuna  odnosi se na usluge</w:t>
      </w:r>
      <w:r w:rsidRPr="00223BA8">
        <w:rPr>
          <w:rFonts w:ascii="Times New Roman" w:hAnsi="Times New Roman" w:cs="Times New Roman"/>
          <w:sz w:val="24"/>
          <w:szCs w:val="24"/>
        </w:rPr>
        <w:t xml:space="preserve"> promidžbe i informiranja, održavanje domene stranice, te autorskog honorara.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100009</w:t>
      </w:r>
      <w:r w:rsidRPr="00223BA8">
        <w:rPr>
          <w:rFonts w:ascii="Times New Roman" w:hAnsi="Times New Roman" w:cs="Times New Roman"/>
          <w:sz w:val="24"/>
          <w:szCs w:val="24"/>
        </w:rPr>
        <w:t>– Intelektualne i osobne usluge –aktiv</w:t>
      </w:r>
      <w:r w:rsidR="00BF6AAE">
        <w:rPr>
          <w:rFonts w:ascii="Times New Roman" w:hAnsi="Times New Roman" w:cs="Times New Roman"/>
          <w:sz w:val="24"/>
          <w:szCs w:val="24"/>
        </w:rPr>
        <w:t>nost je planiran u iznosu od 94</w:t>
      </w:r>
      <w:r w:rsidRPr="00223BA8">
        <w:rPr>
          <w:rFonts w:ascii="Times New Roman" w:hAnsi="Times New Roman" w:cs="Times New Roman"/>
          <w:sz w:val="24"/>
          <w:szCs w:val="24"/>
        </w:rPr>
        <w:t>.000,00 kuna a o</w:t>
      </w:r>
      <w:r>
        <w:rPr>
          <w:rFonts w:ascii="Times New Roman" w:hAnsi="Times New Roman" w:cs="Times New Roman"/>
          <w:sz w:val="24"/>
          <w:szCs w:val="24"/>
        </w:rPr>
        <w:t xml:space="preserve">dnosi se na ugovore o djelu,usluge odvjetnika i pravnog </w:t>
      </w:r>
      <w:r w:rsidRPr="00223BA8">
        <w:rPr>
          <w:rFonts w:ascii="Times New Roman" w:hAnsi="Times New Roman" w:cs="Times New Roman"/>
          <w:sz w:val="24"/>
          <w:szCs w:val="24"/>
        </w:rPr>
        <w:t>savjetnika , geodetsko katastarske uslu</w:t>
      </w:r>
      <w:r>
        <w:rPr>
          <w:rFonts w:ascii="Times New Roman" w:hAnsi="Times New Roman" w:cs="Times New Roman"/>
          <w:sz w:val="24"/>
          <w:szCs w:val="24"/>
        </w:rPr>
        <w:t>ge te ostale intelektualne usluge.</w:t>
      </w:r>
    </w:p>
    <w:p w:rsidR="00D565D9" w:rsidRPr="00223BA8" w:rsidRDefault="00BF6AAE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A100010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Katastarska izmjera- akt</w:t>
      </w:r>
      <w:r>
        <w:rPr>
          <w:rFonts w:ascii="Times New Roman" w:hAnsi="Times New Roman" w:cs="Times New Roman"/>
          <w:sz w:val="24"/>
          <w:szCs w:val="24"/>
        </w:rPr>
        <w:t>ivnost je planiran u iznosu od 1</w:t>
      </w:r>
      <w:r w:rsidR="00D565D9" w:rsidRPr="00223BA8">
        <w:rPr>
          <w:rFonts w:ascii="Times New Roman" w:hAnsi="Times New Roman" w:cs="Times New Roman"/>
          <w:sz w:val="24"/>
          <w:szCs w:val="24"/>
        </w:rPr>
        <w:t>0.000,00 kuna odnosi se na katastarsku izmjeru nekretnina na području Općine Škabrnja.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100011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Ostale usluge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aktivn</w:t>
      </w:r>
      <w:r>
        <w:rPr>
          <w:rFonts w:ascii="Times New Roman" w:hAnsi="Times New Roman" w:cs="Times New Roman"/>
          <w:sz w:val="24"/>
          <w:szCs w:val="24"/>
        </w:rPr>
        <w:t>ost se odnosi na ažuriranje računalnih baza,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grafičke i tiskarske usluge, usluge </w:t>
      </w:r>
      <w:r w:rsidRPr="00223BA8">
        <w:rPr>
          <w:rFonts w:ascii="Times New Roman" w:hAnsi="Times New Roman" w:cs="Times New Roman"/>
          <w:sz w:val="24"/>
          <w:szCs w:val="24"/>
        </w:rPr>
        <w:t>pri registraciji prijev</w:t>
      </w:r>
      <w:r>
        <w:rPr>
          <w:rFonts w:ascii="Times New Roman" w:hAnsi="Times New Roman" w:cs="Times New Roman"/>
          <w:sz w:val="24"/>
          <w:szCs w:val="24"/>
        </w:rPr>
        <w:t>oznih sredstava, te ostale usluge,</w:t>
      </w:r>
      <w:r w:rsidR="00BF6AAE">
        <w:rPr>
          <w:rFonts w:ascii="Times New Roman" w:hAnsi="Times New Roman" w:cs="Times New Roman"/>
          <w:sz w:val="24"/>
          <w:szCs w:val="24"/>
        </w:rPr>
        <w:t xml:space="preserve"> a planiran je u iznosu od 3</w:t>
      </w:r>
      <w:r w:rsidRPr="00223BA8">
        <w:rPr>
          <w:rFonts w:ascii="Times New Roman" w:hAnsi="Times New Roman" w:cs="Times New Roman"/>
          <w:sz w:val="24"/>
          <w:szCs w:val="24"/>
        </w:rPr>
        <w:t>0.000,00 kuna</w:t>
      </w:r>
    </w:p>
    <w:p w:rsidR="00D565D9" w:rsidRPr="00223BA8" w:rsidRDefault="00BF6AAE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A100012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Donacije vjerskim zajednicama-program je planiran u iznosu od 10.000,00 kuna, </w:t>
      </w:r>
    </w:p>
    <w:p w:rsidR="00D565D9" w:rsidRPr="00223BA8" w:rsidRDefault="00BF6AAE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000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D565D9" w:rsidRPr="00223BA8">
        <w:rPr>
          <w:rFonts w:ascii="Times New Roman" w:hAnsi="Times New Roman" w:cs="Times New Roman"/>
          <w:sz w:val="24"/>
          <w:szCs w:val="24"/>
        </w:rPr>
        <w:t>-Poslovanje raznih udruga- odnosi se na donacije udrugama proizašlim iz domovinskog ra</w:t>
      </w:r>
      <w:r>
        <w:rPr>
          <w:rFonts w:ascii="Times New Roman" w:hAnsi="Times New Roman" w:cs="Times New Roman"/>
          <w:sz w:val="24"/>
          <w:szCs w:val="24"/>
        </w:rPr>
        <w:t>ta, a planiran je u iznosu od 11.5</w:t>
      </w:r>
      <w:r w:rsidR="00D565D9" w:rsidRPr="00223BA8">
        <w:rPr>
          <w:rFonts w:ascii="Times New Roman" w:hAnsi="Times New Roman" w:cs="Times New Roman"/>
          <w:sz w:val="24"/>
          <w:szCs w:val="24"/>
        </w:rPr>
        <w:t>00,00 kuna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BF6AAE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00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565D9" w:rsidRPr="00223BA8">
        <w:rPr>
          <w:rFonts w:ascii="Times New Roman" w:hAnsi="Times New Roman" w:cs="Times New Roman"/>
          <w:sz w:val="24"/>
          <w:szCs w:val="24"/>
        </w:rPr>
        <w:t>-Tekuće donacije Crveni križ-tekuće donacije za rad crvenog križa planirane su u iznosu od 2.000,00 kn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BF6AAE">
        <w:rPr>
          <w:rFonts w:ascii="Times New Roman" w:hAnsi="Times New Roman" w:cs="Times New Roman"/>
          <w:b/>
          <w:i/>
          <w:sz w:val="24"/>
          <w:szCs w:val="24"/>
        </w:rPr>
        <w:t>100015</w:t>
      </w:r>
      <w:r w:rsidRPr="00223BA8">
        <w:rPr>
          <w:rFonts w:ascii="Times New Roman" w:hAnsi="Times New Roman" w:cs="Times New Roman"/>
          <w:sz w:val="24"/>
          <w:szCs w:val="24"/>
        </w:rPr>
        <w:t xml:space="preserve">- Uredski namještaj i </w:t>
      </w:r>
      <w:r w:rsidR="00BF6AAE">
        <w:rPr>
          <w:rFonts w:ascii="Times New Roman" w:hAnsi="Times New Roman" w:cs="Times New Roman"/>
          <w:sz w:val="24"/>
          <w:szCs w:val="24"/>
        </w:rPr>
        <w:t>oprema – planiran je iznos od 29</w:t>
      </w:r>
      <w:r w:rsidRPr="00223BA8">
        <w:rPr>
          <w:rFonts w:ascii="Times New Roman" w:hAnsi="Times New Roman" w:cs="Times New Roman"/>
          <w:sz w:val="24"/>
          <w:szCs w:val="24"/>
        </w:rPr>
        <w:t>.000,00 kuna. Rashod se odnosi na uredsku opremu i namještaj, komunikacijsku opremu, knjige, te ulaganja u računalne programe.</w:t>
      </w:r>
    </w:p>
    <w:p w:rsidR="00BF6AAE" w:rsidRDefault="00BF6AAE" w:rsidP="00BF6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AAE" w:rsidRPr="00BF6AAE" w:rsidRDefault="00BF6AAE" w:rsidP="00BF6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K100016-</w:t>
      </w:r>
      <w:r>
        <w:rPr>
          <w:rFonts w:ascii="Times New Roman" w:hAnsi="Times New Roman" w:cs="Times New Roman"/>
          <w:sz w:val="24"/>
          <w:szCs w:val="24"/>
        </w:rPr>
        <w:t>Izrada igranog dokum.filma-planiran je iznos od 50.000,00kn,a odnosi se na snimanje dokum.filma o Domov.ratu u Škabrnji.</w:t>
      </w:r>
    </w:p>
    <w:p w:rsidR="00D565D9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t>Program: Komunalna infrastruktura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BF6AAE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A100017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Komunalni pogon- Ukupno planirana </w:t>
      </w:r>
      <w:r>
        <w:rPr>
          <w:rFonts w:ascii="Times New Roman" w:hAnsi="Times New Roman" w:cs="Times New Roman"/>
          <w:sz w:val="24"/>
          <w:szCs w:val="24"/>
        </w:rPr>
        <w:t>sredstva iznose 295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kn a odnose se na plaće komunalnih djelatnika, materijalne rashode vezane za njihov rad kao što su gorivo, materijali za tekuće i investicijsko održavanje, te usluge telefona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BF6AAE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K100018</w:t>
      </w:r>
      <w:r w:rsidR="00D565D9" w:rsidRPr="00223BA8">
        <w:rPr>
          <w:rFonts w:ascii="Times New Roman" w:hAnsi="Times New Roman" w:cs="Times New Roman"/>
          <w:sz w:val="24"/>
          <w:szCs w:val="24"/>
        </w:rPr>
        <w:t>-Nabavka k</w:t>
      </w:r>
      <w:r>
        <w:rPr>
          <w:rFonts w:ascii="Times New Roman" w:hAnsi="Times New Roman" w:cs="Times New Roman"/>
          <w:sz w:val="24"/>
          <w:szCs w:val="24"/>
        </w:rPr>
        <w:t>omunalne opreme- planirano je 7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kn a odnosi se na nabava opreme potrebne za rad komunalnog pogona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Održavanje objekata i komunalne infrastruktura</w:t>
      </w:r>
    </w:p>
    <w:p w:rsidR="00D565D9" w:rsidRPr="00223BA8" w:rsidRDefault="005B617F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A100019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Prikupljanje otpada, deratizacija i opskrba vodom- Aktivn</w:t>
      </w:r>
      <w:r>
        <w:rPr>
          <w:rFonts w:ascii="Times New Roman" w:hAnsi="Times New Roman" w:cs="Times New Roman"/>
          <w:sz w:val="24"/>
          <w:szCs w:val="24"/>
        </w:rPr>
        <w:t>ost je planirana u iznosu od 79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kuna, a odnosi se na proljetnu i jesensku deratizaciju, te us</w:t>
      </w:r>
      <w:r>
        <w:rPr>
          <w:rFonts w:ascii="Times New Roman" w:hAnsi="Times New Roman" w:cs="Times New Roman"/>
          <w:sz w:val="24"/>
          <w:szCs w:val="24"/>
        </w:rPr>
        <w:t xml:space="preserve">lugu dezinsekcije tijekom ljeta i  na odvoz </w:t>
      </w:r>
      <w:r w:rsidR="00D565D9" w:rsidRPr="00223BA8">
        <w:rPr>
          <w:rFonts w:ascii="Times New Roman" w:hAnsi="Times New Roman" w:cs="Times New Roman"/>
          <w:sz w:val="24"/>
          <w:szCs w:val="24"/>
        </w:rPr>
        <w:t>smeća te opskrbu vodom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5B617F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A100021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>Javna rasvjeta-Aktivnost je planirana u iznosu od 80.000,00 kuna, a odnosi se na el. energ</w:t>
      </w:r>
      <w:r>
        <w:rPr>
          <w:rFonts w:ascii="Times New Roman" w:hAnsi="Times New Roman" w:cs="Times New Roman"/>
          <w:sz w:val="24"/>
          <w:szCs w:val="24"/>
        </w:rPr>
        <w:t>iju  i usl.održ.javne rasvijete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175648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A100022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>Održavanje javnih površina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>Aktiv</w:t>
      </w:r>
      <w:r>
        <w:rPr>
          <w:rFonts w:ascii="Times New Roman" w:hAnsi="Times New Roman" w:cs="Times New Roman"/>
          <w:sz w:val="24"/>
          <w:szCs w:val="24"/>
        </w:rPr>
        <w:t>nost je planirana u iznosu od 26.5</w:t>
      </w:r>
      <w:r w:rsidR="00D565D9" w:rsidRPr="00223BA8">
        <w:rPr>
          <w:rFonts w:ascii="Times New Roman" w:hAnsi="Times New Roman" w:cs="Times New Roman"/>
          <w:sz w:val="24"/>
          <w:szCs w:val="24"/>
        </w:rPr>
        <w:t>00,00 a odnosi se na materijal i sredstva za održavanje javne površine.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5B617F">
        <w:rPr>
          <w:rFonts w:ascii="Times New Roman" w:hAnsi="Times New Roman" w:cs="Times New Roman"/>
          <w:b/>
          <w:i/>
          <w:sz w:val="24"/>
          <w:szCs w:val="24"/>
        </w:rPr>
        <w:t>10002</w:t>
      </w:r>
      <w:r w:rsidR="0017564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23BA8">
        <w:rPr>
          <w:rFonts w:ascii="Times New Roman" w:hAnsi="Times New Roman" w:cs="Times New Roman"/>
          <w:sz w:val="24"/>
          <w:szCs w:val="24"/>
        </w:rPr>
        <w:t xml:space="preserve"> -Održavanje poljskih putova </w:t>
      </w:r>
      <w:r w:rsidR="005B617F">
        <w:rPr>
          <w:rFonts w:ascii="Times New Roman" w:hAnsi="Times New Roman" w:cs="Times New Roman"/>
          <w:sz w:val="24"/>
          <w:szCs w:val="24"/>
        </w:rPr>
        <w:t>i</w:t>
      </w:r>
      <w:r w:rsidRPr="00223BA8">
        <w:rPr>
          <w:rFonts w:ascii="Times New Roman" w:hAnsi="Times New Roman" w:cs="Times New Roman"/>
          <w:sz w:val="24"/>
          <w:szCs w:val="24"/>
        </w:rPr>
        <w:t xml:space="preserve"> nerazvrstanih cesta-Aktiv</w:t>
      </w:r>
      <w:r w:rsidR="005B617F">
        <w:rPr>
          <w:rFonts w:ascii="Times New Roman" w:hAnsi="Times New Roman" w:cs="Times New Roman"/>
          <w:sz w:val="24"/>
          <w:szCs w:val="24"/>
        </w:rPr>
        <w:t>nost je planirana u iznosu od 45</w:t>
      </w:r>
      <w:r w:rsidRPr="00223BA8">
        <w:rPr>
          <w:rFonts w:ascii="Times New Roman" w:hAnsi="Times New Roman" w:cs="Times New Roman"/>
          <w:sz w:val="24"/>
          <w:szCs w:val="24"/>
        </w:rPr>
        <w:t>.000,00 kuna.</w:t>
      </w:r>
    </w:p>
    <w:p w:rsidR="00175648" w:rsidRDefault="00175648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648" w:rsidRPr="00175648" w:rsidRDefault="00175648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K100020-</w:t>
      </w:r>
      <w:r>
        <w:rPr>
          <w:rFonts w:ascii="Times New Roman" w:hAnsi="Times New Roman" w:cs="Times New Roman"/>
          <w:sz w:val="24"/>
          <w:szCs w:val="24"/>
        </w:rPr>
        <w:t>Nabavka opreme-aktivnost se odnosi na nabavku kontejnera za odvoz otpada i planirana je u iznosu od 20.000,00kn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Izgradnja i komunalne infrastruktura</w:t>
      </w:r>
    </w:p>
    <w:p w:rsidR="00D565D9" w:rsidRPr="00223BA8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00</w:t>
      </w:r>
      <w:r>
        <w:rPr>
          <w:rFonts w:ascii="Times New Roman" w:hAnsi="Times New Roman" w:cs="Times New Roman"/>
          <w:b/>
          <w:i/>
          <w:sz w:val="24"/>
          <w:szCs w:val="24"/>
        </w:rPr>
        <w:t>024</w:t>
      </w:r>
      <w:r w:rsidR="00D565D9" w:rsidRPr="00223BA8">
        <w:rPr>
          <w:rFonts w:ascii="Times New Roman" w:hAnsi="Times New Roman" w:cs="Times New Roman"/>
          <w:sz w:val="24"/>
          <w:szCs w:val="24"/>
        </w:rPr>
        <w:t>-izgradnja memorijalnog centra-P</w:t>
      </w:r>
      <w:r>
        <w:rPr>
          <w:rFonts w:ascii="Times New Roman" w:hAnsi="Times New Roman" w:cs="Times New Roman"/>
          <w:sz w:val="24"/>
          <w:szCs w:val="24"/>
        </w:rPr>
        <w:t>rojekt je planiran u iznosu od 2</w:t>
      </w:r>
      <w:r w:rsidR="00D565D9" w:rsidRPr="00223BA8">
        <w:rPr>
          <w:rFonts w:ascii="Times New Roman" w:hAnsi="Times New Roman" w:cs="Times New Roman"/>
          <w:sz w:val="24"/>
          <w:szCs w:val="24"/>
        </w:rPr>
        <w:t>00.000,00 kuna a odnosi se na izgradnju memorijalno</w:t>
      </w:r>
      <w:r>
        <w:rPr>
          <w:rFonts w:ascii="Times New Roman" w:hAnsi="Times New Roman" w:cs="Times New Roman"/>
          <w:sz w:val="24"/>
          <w:szCs w:val="24"/>
        </w:rPr>
        <w:t>g centra na Ražovljevoj glavici te uređenje ceste prema istom.</w:t>
      </w:r>
    </w:p>
    <w:p w:rsidR="00D565D9" w:rsidRPr="00223BA8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K100025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Izgradnja groblja i mrtvačnice- Pr</w:t>
      </w:r>
      <w:r>
        <w:rPr>
          <w:rFonts w:ascii="Times New Roman" w:hAnsi="Times New Roman" w:cs="Times New Roman"/>
          <w:sz w:val="24"/>
          <w:szCs w:val="24"/>
        </w:rPr>
        <w:t>ojekt je planiran u iznosu od 100.000,00 a odnosi se na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izgradnju trafostanice na mjesnom  groblju sv. Luka.</w:t>
      </w:r>
    </w:p>
    <w:p w:rsidR="00D565D9" w:rsidRPr="00223BA8" w:rsidRDefault="00175648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K100026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Izgradnja općinske upravne zgrade-Pro</w:t>
      </w:r>
      <w:r>
        <w:rPr>
          <w:rFonts w:ascii="Times New Roman" w:hAnsi="Times New Roman" w:cs="Times New Roman"/>
          <w:sz w:val="24"/>
          <w:szCs w:val="24"/>
        </w:rPr>
        <w:t xml:space="preserve">jekt je planiran u iznosu od 620.000,00 kuna te </w:t>
      </w:r>
      <w:r w:rsidR="00D565D9" w:rsidRPr="00223BA8">
        <w:rPr>
          <w:rFonts w:ascii="Times New Roman" w:hAnsi="Times New Roman" w:cs="Times New Roman"/>
          <w:sz w:val="24"/>
          <w:szCs w:val="24"/>
        </w:rPr>
        <w:t>se odnosi na izgradnju općinske zgrade.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175648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K100027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Izgradnja nerazvrstanih cesta i pj. staze-Projekt je planiran u iz</w:t>
      </w:r>
      <w:r>
        <w:rPr>
          <w:rFonts w:ascii="Times New Roman" w:hAnsi="Times New Roman" w:cs="Times New Roman"/>
          <w:sz w:val="24"/>
          <w:szCs w:val="24"/>
        </w:rPr>
        <w:t>nosu od 105.000,00 kuna,a odnosi se na uređenje ulice Samostalnog bataljuna i cesta u Prkosu.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175648">
        <w:rPr>
          <w:rFonts w:ascii="Times New Roman" w:hAnsi="Times New Roman" w:cs="Times New Roman"/>
          <w:b/>
          <w:i/>
          <w:sz w:val="24"/>
          <w:szCs w:val="24"/>
        </w:rPr>
        <w:t>100028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Izrada projektne dokumentacije-Pr</w:t>
      </w:r>
      <w:r w:rsidR="00175648">
        <w:rPr>
          <w:rFonts w:ascii="Times New Roman" w:hAnsi="Times New Roman" w:cs="Times New Roman"/>
          <w:sz w:val="24"/>
          <w:szCs w:val="24"/>
        </w:rPr>
        <w:t>ojekt je planiran u iznosu od 100</w:t>
      </w:r>
      <w:r w:rsidRPr="00223BA8">
        <w:rPr>
          <w:rFonts w:ascii="Times New Roman" w:hAnsi="Times New Roman" w:cs="Times New Roman"/>
          <w:sz w:val="24"/>
          <w:szCs w:val="24"/>
        </w:rPr>
        <w:t xml:space="preserve">0.000,00 kuna a odnosi se na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projekt nerazvrstanih cesta</w:t>
      </w:r>
      <w:r w:rsidRPr="00223BA8">
        <w:rPr>
          <w:rFonts w:ascii="Times New Roman" w:hAnsi="Times New Roman" w:cs="Times New Roman"/>
          <w:sz w:val="24"/>
          <w:szCs w:val="24"/>
        </w:rPr>
        <w:t xml:space="preserve">, </w:t>
      </w:r>
      <w:r w:rsidR="00175648">
        <w:rPr>
          <w:rFonts w:ascii="Times New Roman" w:hAnsi="Times New Roman" w:cs="Times New Roman"/>
          <w:sz w:val="24"/>
          <w:szCs w:val="24"/>
          <w:lang w:eastAsia="hr-HR"/>
        </w:rPr>
        <w:t>projekt asfaltiranja ceste prema Raž.glavici</w:t>
      </w:r>
      <w:r w:rsidR="00175648">
        <w:rPr>
          <w:rFonts w:ascii="Times New Roman" w:hAnsi="Times New Roman" w:cs="Times New Roman"/>
          <w:sz w:val="24"/>
          <w:szCs w:val="24"/>
        </w:rPr>
        <w:t xml:space="preserve"> te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projekt infrastrukture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u poslovnoj zoni Vlačine.</w:t>
      </w:r>
    </w:p>
    <w:tbl>
      <w:tblPr>
        <w:tblW w:w="6080" w:type="dxa"/>
        <w:tblInd w:w="93" w:type="dxa"/>
        <w:tblLook w:val="04A0" w:firstRow="1" w:lastRow="0" w:firstColumn="1" w:lastColumn="0" w:noHBand="0" w:noVBand="1"/>
      </w:tblPr>
      <w:tblGrid>
        <w:gridCol w:w="6080"/>
      </w:tblGrid>
      <w:tr w:rsidR="00D565D9" w:rsidRPr="00223BA8" w:rsidTr="00BA07BB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D9" w:rsidRPr="00223BA8" w:rsidRDefault="00D565D9" w:rsidP="00BA07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D565D9" w:rsidRPr="00223BA8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K100051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Rasvjeta na Trgu dr.Franje Tuđmana </w:t>
      </w:r>
      <w:r w:rsidR="00D565D9" w:rsidRPr="00223BA8">
        <w:rPr>
          <w:rFonts w:ascii="Times New Roman" w:hAnsi="Times New Roman" w:cs="Times New Roman"/>
          <w:sz w:val="24"/>
          <w:szCs w:val="24"/>
        </w:rPr>
        <w:t>- Pr</w:t>
      </w:r>
      <w:r>
        <w:rPr>
          <w:rFonts w:ascii="Times New Roman" w:hAnsi="Times New Roman" w:cs="Times New Roman"/>
          <w:sz w:val="24"/>
          <w:szCs w:val="24"/>
        </w:rPr>
        <w:t>ojekt je planiran u iznosu od 15</w:t>
      </w:r>
      <w:r w:rsidR="00D565D9" w:rsidRPr="00223BA8">
        <w:rPr>
          <w:rFonts w:ascii="Times New Roman" w:hAnsi="Times New Roman" w:cs="Times New Roman"/>
          <w:sz w:val="24"/>
          <w:szCs w:val="24"/>
        </w:rPr>
        <w:t>0.000,00 kuna</w:t>
      </w:r>
    </w:p>
    <w:p w:rsidR="00D565D9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K100047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>Izgradnja građevinske zone Vlačine - Pro</w:t>
      </w:r>
      <w:r>
        <w:rPr>
          <w:rFonts w:ascii="Times New Roman" w:hAnsi="Times New Roman" w:cs="Times New Roman"/>
          <w:sz w:val="24"/>
          <w:szCs w:val="24"/>
        </w:rPr>
        <w:t>jekt je planiran u iznosu od 3</w:t>
      </w:r>
      <w:r w:rsidR="00D565D9" w:rsidRPr="00223BA8">
        <w:rPr>
          <w:rFonts w:ascii="Times New Roman" w:hAnsi="Times New Roman" w:cs="Times New Roman"/>
          <w:sz w:val="24"/>
          <w:szCs w:val="24"/>
        </w:rPr>
        <w:t>00.000,00 kuna.</w:t>
      </w:r>
    </w:p>
    <w:p w:rsidR="00175648" w:rsidRPr="00223BA8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175648">
        <w:rPr>
          <w:rFonts w:ascii="Times New Roman" w:hAnsi="Times New Roman" w:cs="Times New Roman"/>
          <w:b/>
          <w:i/>
          <w:sz w:val="24"/>
          <w:szCs w:val="24"/>
        </w:rPr>
        <w:t>100030</w:t>
      </w:r>
      <w:r w:rsidRPr="00223BA8">
        <w:rPr>
          <w:rFonts w:ascii="Times New Roman" w:hAnsi="Times New Roman" w:cs="Times New Roman"/>
          <w:sz w:val="24"/>
          <w:szCs w:val="24"/>
        </w:rPr>
        <w:t>- Izgradnja trga u selu – odnosi se na uređen</w:t>
      </w:r>
      <w:r>
        <w:rPr>
          <w:rFonts w:ascii="Times New Roman" w:hAnsi="Times New Roman" w:cs="Times New Roman"/>
          <w:sz w:val="24"/>
          <w:szCs w:val="24"/>
        </w:rPr>
        <w:t>j</w:t>
      </w:r>
      <w:r w:rsidR="00175648">
        <w:rPr>
          <w:rFonts w:ascii="Times New Roman" w:hAnsi="Times New Roman" w:cs="Times New Roman"/>
          <w:sz w:val="24"/>
          <w:szCs w:val="24"/>
        </w:rPr>
        <w:t>e trga u selu.</w:t>
      </w:r>
      <w:r w:rsidRPr="00223BA8">
        <w:rPr>
          <w:rFonts w:ascii="Times New Roman" w:hAnsi="Times New Roman" w:cs="Times New Roman"/>
          <w:sz w:val="24"/>
          <w:szCs w:val="24"/>
        </w:rPr>
        <w:t>Pr</w:t>
      </w:r>
      <w:r w:rsidR="00175648">
        <w:rPr>
          <w:rFonts w:ascii="Times New Roman" w:hAnsi="Times New Roman" w:cs="Times New Roman"/>
          <w:sz w:val="24"/>
          <w:szCs w:val="24"/>
        </w:rPr>
        <w:t>ojekt je planiran u iznosu od 5</w:t>
      </w:r>
      <w:r w:rsidRPr="00223BA8">
        <w:rPr>
          <w:rFonts w:ascii="Times New Roman" w:hAnsi="Times New Roman" w:cs="Times New Roman"/>
          <w:sz w:val="24"/>
          <w:szCs w:val="24"/>
        </w:rPr>
        <w:t>0.000,00 kuna.</w:t>
      </w:r>
    </w:p>
    <w:p w:rsidR="00175648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175648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K100053-</w:t>
      </w:r>
      <w:r w:rsidR="00807CF2">
        <w:rPr>
          <w:rFonts w:ascii="Times New Roman" w:hAnsi="Times New Roman" w:cs="Times New Roman"/>
          <w:sz w:val="24"/>
          <w:szCs w:val="24"/>
        </w:rPr>
        <w:t>Uređenje ulaza u selo-projekt je planiran u iznosu od 50.000,00kn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Zaštita od požara i civilna zaštita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sz w:val="24"/>
          <w:szCs w:val="24"/>
        </w:rPr>
        <w:t>protupožarne zaštite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– Aktivnost se planira i iznos</w:t>
      </w:r>
      <w:r>
        <w:rPr>
          <w:rFonts w:ascii="Times New Roman" w:hAnsi="Times New Roman" w:cs="Times New Roman"/>
          <w:sz w:val="24"/>
          <w:szCs w:val="24"/>
        </w:rPr>
        <w:t>u od 5</w:t>
      </w:r>
      <w:r w:rsidR="00D565D9" w:rsidRPr="00223BA8">
        <w:rPr>
          <w:rFonts w:ascii="Times New Roman" w:hAnsi="Times New Roman" w:cs="Times New Roman"/>
          <w:sz w:val="24"/>
          <w:szCs w:val="24"/>
        </w:rPr>
        <w:t>0.000,00 kuna.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A100032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Financiranje Civilne zaštite-Akt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ivnost se planira u iznosu od 2</w:t>
      </w:r>
      <w:r w:rsidR="00D565D9" w:rsidRPr="00223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kuna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A100033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Hrvatska gorska služba spašavanja –Aktivnost se planira u iznosu od 2.000,00 kuna</w:t>
      </w:r>
    </w:p>
    <w:tbl>
      <w:tblPr>
        <w:tblW w:w="6080" w:type="dxa"/>
        <w:tblInd w:w="93" w:type="dxa"/>
        <w:tblLook w:val="04A0" w:firstRow="1" w:lastRow="0" w:firstColumn="1" w:lastColumn="0" w:noHBand="0" w:noVBand="1"/>
      </w:tblPr>
      <w:tblGrid>
        <w:gridCol w:w="6080"/>
      </w:tblGrid>
      <w:tr w:rsidR="00D565D9" w:rsidRPr="00223BA8" w:rsidTr="00BA07BB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D9" w:rsidRPr="00223BA8" w:rsidRDefault="00D565D9" w:rsidP="00BA07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565D9" w:rsidRPr="00223BA8" w:rsidTr="00BA07BB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D9" w:rsidRPr="00223BA8" w:rsidRDefault="00D565D9" w:rsidP="00BA07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565D9" w:rsidRPr="00223BA8" w:rsidTr="00BA07BB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5D9" w:rsidRPr="00223BA8" w:rsidRDefault="00D565D9" w:rsidP="00BA07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D565D9" w:rsidRPr="00223BA8" w:rsidRDefault="00D565D9" w:rsidP="00D565D9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kulturi</w:t>
      </w: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A100034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>–Kulturne manifestacije  – Akti</w:t>
      </w:r>
      <w:r>
        <w:rPr>
          <w:rFonts w:ascii="Times New Roman" w:hAnsi="Times New Roman" w:cs="Times New Roman"/>
          <w:sz w:val="24"/>
          <w:szCs w:val="24"/>
        </w:rPr>
        <w:t>vnost je planirana u iznosu od 2</w:t>
      </w:r>
      <w:r w:rsidR="00D565D9" w:rsidRPr="00223BA8">
        <w:rPr>
          <w:rFonts w:ascii="Times New Roman" w:hAnsi="Times New Roman" w:cs="Times New Roman"/>
          <w:sz w:val="24"/>
          <w:szCs w:val="24"/>
        </w:rPr>
        <w:t>0.000,00 kn a uključuje donacije KUD-u Škabrnja, KUD-u sv.</w:t>
      </w:r>
      <w:r w:rsidR="00D565D9">
        <w:rPr>
          <w:rFonts w:ascii="Times New Roman" w:hAnsi="Times New Roman" w:cs="Times New Roman"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Luka i Pjevačkoj skupini </w:t>
      </w:r>
      <w:r w:rsidR="00D565D9">
        <w:rPr>
          <w:rFonts w:ascii="Times New Roman" w:hAnsi="Times New Roman" w:cs="Times New Roman"/>
          <w:sz w:val="24"/>
          <w:szCs w:val="24"/>
        </w:rPr>
        <w:t>Č</w:t>
      </w:r>
      <w:r w:rsidR="00D565D9" w:rsidRPr="00223BA8">
        <w:rPr>
          <w:rFonts w:ascii="Times New Roman" w:hAnsi="Times New Roman" w:cs="Times New Roman"/>
          <w:sz w:val="24"/>
          <w:szCs w:val="24"/>
        </w:rPr>
        <w:t>evulja.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65D9" w:rsidRPr="00223BA8" w:rsidRDefault="00D565D9" w:rsidP="00D565D9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športu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A100035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>–Održavanje športskih terena-Aktivnost je planirana u izn</w:t>
      </w:r>
      <w:r>
        <w:rPr>
          <w:rFonts w:ascii="Times New Roman" w:hAnsi="Times New Roman" w:cs="Times New Roman"/>
          <w:sz w:val="24"/>
          <w:szCs w:val="24"/>
        </w:rPr>
        <w:t>osu od 69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kuna. Aktivnost čine rashodi energija, materijal i dijelovi za tekuće i investicijsko održavanje</w:t>
      </w:r>
      <w:r w:rsidR="00D565D9">
        <w:rPr>
          <w:rFonts w:ascii="Times New Roman" w:hAnsi="Times New Roman" w:cs="Times New Roman"/>
          <w:sz w:val="24"/>
          <w:szCs w:val="24"/>
        </w:rPr>
        <w:t>, te ostale usluge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održavanja tekućeg i investicijskog održavanja sportskih terena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A100036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-Financiranje rada športskih udruga-Aktivnost je </w:t>
      </w:r>
      <w:r>
        <w:rPr>
          <w:rFonts w:ascii="Times New Roman" w:hAnsi="Times New Roman" w:cs="Times New Roman"/>
          <w:sz w:val="24"/>
          <w:szCs w:val="24"/>
        </w:rPr>
        <w:t>planirana u iznosu od 218.8</w:t>
      </w:r>
      <w:r w:rsidR="00D565D9" w:rsidRPr="00223BA8">
        <w:rPr>
          <w:rFonts w:ascii="Times New Roman" w:hAnsi="Times New Roman" w:cs="Times New Roman"/>
          <w:sz w:val="24"/>
          <w:szCs w:val="24"/>
        </w:rPr>
        <w:t>00,00 kuna a odnosi se na tekuće donacije sportskim klubovima: NK Škabrnja 91,ŽKK Škabrnja, Konopaši Škabrnja, MNK Škabrnja, te ostale sportske udruge.</w:t>
      </w:r>
    </w:p>
    <w:p w:rsidR="00D565D9" w:rsidRPr="00223BA8" w:rsidRDefault="00D565D9" w:rsidP="00D565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7CF2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807CF2">
        <w:rPr>
          <w:rFonts w:ascii="Times New Roman" w:hAnsi="Times New Roman" w:cs="Times New Roman"/>
          <w:b/>
          <w:i/>
          <w:sz w:val="24"/>
          <w:szCs w:val="24"/>
        </w:rPr>
        <w:t>100037</w:t>
      </w:r>
      <w:r w:rsidRPr="00223BA8">
        <w:rPr>
          <w:rFonts w:ascii="Times New Roman" w:hAnsi="Times New Roman" w:cs="Times New Roman"/>
          <w:sz w:val="24"/>
          <w:szCs w:val="24"/>
        </w:rPr>
        <w:t>–Izgradnja športskog i rekreacijskog terena –Projekt se planira u izn</w:t>
      </w:r>
      <w:r w:rsidR="00807CF2">
        <w:rPr>
          <w:rFonts w:ascii="Times New Roman" w:hAnsi="Times New Roman" w:cs="Times New Roman"/>
          <w:sz w:val="24"/>
          <w:szCs w:val="24"/>
        </w:rPr>
        <w:t>osu od 6</w:t>
      </w:r>
      <w:r w:rsidRPr="00223BA8">
        <w:rPr>
          <w:rFonts w:ascii="Times New Roman" w:hAnsi="Times New Roman" w:cs="Times New Roman"/>
          <w:sz w:val="24"/>
          <w:szCs w:val="24"/>
        </w:rPr>
        <w:t xml:space="preserve">0.000,00 kn. </w:t>
      </w:r>
    </w:p>
    <w:p w:rsidR="00807CF2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K100049-</w:t>
      </w:r>
      <w:r>
        <w:rPr>
          <w:rFonts w:ascii="Times New Roman" w:hAnsi="Times New Roman" w:cs="Times New Roman"/>
          <w:sz w:val="24"/>
          <w:szCs w:val="24"/>
        </w:rPr>
        <w:t>Košarkaško i tenisko igralište-projekt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se odnosi na izgradnju teniskog i košarkaškog igrališta koji sufinancira Europska unija u iznos</w:t>
      </w:r>
      <w:r>
        <w:rPr>
          <w:rFonts w:ascii="Times New Roman" w:hAnsi="Times New Roman" w:cs="Times New Roman"/>
          <w:sz w:val="24"/>
          <w:szCs w:val="24"/>
        </w:rPr>
        <w:t>u od 90% cjelokupne vrijednosti,a planiran je u iznosu od 300.000,00kn</w:t>
      </w:r>
    </w:p>
    <w:p w:rsidR="00807CF2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F2" w:rsidRPr="00807CF2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K100052-</w:t>
      </w:r>
      <w:r>
        <w:rPr>
          <w:rFonts w:ascii="Times New Roman" w:hAnsi="Times New Roman" w:cs="Times New Roman"/>
          <w:sz w:val="24"/>
          <w:szCs w:val="24"/>
        </w:rPr>
        <w:t>Izgradnja igral.-Prkos-projekt je planiran u iznosu od 50.000,00kn a odnosi se na izgradnju igrališta u Prkosu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F2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F2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F2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školstvu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07CF2">
        <w:rPr>
          <w:rFonts w:ascii="Times New Roman" w:hAnsi="Times New Roman" w:cs="Times New Roman"/>
          <w:b/>
          <w:i/>
          <w:sz w:val="24"/>
          <w:szCs w:val="24"/>
        </w:rPr>
        <w:t>100038</w:t>
      </w:r>
      <w:r w:rsidRPr="00223BA8">
        <w:rPr>
          <w:rFonts w:ascii="Times New Roman" w:hAnsi="Times New Roman" w:cs="Times New Roman"/>
          <w:sz w:val="24"/>
          <w:szCs w:val="24"/>
        </w:rPr>
        <w:t>–Stipendije učenicima i studentima –Planiran</w:t>
      </w:r>
      <w:r w:rsidR="00807CF2">
        <w:rPr>
          <w:rFonts w:ascii="Times New Roman" w:hAnsi="Times New Roman" w:cs="Times New Roman"/>
          <w:sz w:val="24"/>
          <w:szCs w:val="24"/>
        </w:rPr>
        <w:t>o je 3</w:t>
      </w:r>
      <w:r w:rsidRPr="00223BA8">
        <w:rPr>
          <w:rFonts w:ascii="Times New Roman" w:hAnsi="Times New Roman" w:cs="Times New Roman"/>
          <w:sz w:val="24"/>
          <w:szCs w:val="24"/>
        </w:rPr>
        <w:t>0.000,00 kn kao jednokratna stipendija studentima .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07CF2">
        <w:rPr>
          <w:rFonts w:ascii="Times New Roman" w:hAnsi="Times New Roman" w:cs="Times New Roman"/>
          <w:b/>
          <w:i/>
          <w:sz w:val="24"/>
          <w:szCs w:val="24"/>
        </w:rPr>
        <w:t>100039</w:t>
      </w:r>
      <w:r w:rsidRPr="00223BA8">
        <w:rPr>
          <w:rFonts w:ascii="Times New Roman" w:hAnsi="Times New Roman" w:cs="Times New Roman"/>
          <w:sz w:val="24"/>
          <w:szCs w:val="24"/>
        </w:rPr>
        <w:t>–Tekuće donacije za osnovnoškolski i pre</w:t>
      </w:r>
      <w:r w:rsidR="00807CF2">
        <w:rPr>
          <w:rFonts w:ascii="Times New Roman" w:hAnsi="Times New Roman" w:cs="Times New Roman"/>
          <w:sz w:val="24"/>
          <w:szCs w:val="24"/>
        </w:rPr>
        <w:t>dškolski odgoj –Planirano  je 5</w:t>
      </w:r>
      <w:r w:rsidRPr="00223BA8">
        <w:rPr>
          <w:rFonts w:ascii="Times New Roman" w:hAnsi="Times New Roman" w:cs="Times New Roman"/>
          <w:sz w:val="24"/>
          <w:szCs w:val="24"/>
        </w:rPr>
        <w:t>.000,00</w:t>
      </w:r>
      <w:r w:rsidR="00807CF2">
        <w:rPr>
          <w:rFonts w:ascii="Times New Roman" w:hAnsi="Times New Roman" w:cs="Times New Roman"/>
          <w:sz w:val="24"/>
          <w:szCs w:val="24"/>
        </w:rPr>
        <w:t xml:space="preserve">kn </w:t>
      </w:r>
      <w:r w:rsidRPr="00223BA8">
        <w:rPr>
          <w:rFonts w:ascii="Times New Roman" w:hAnsi="Times New Roman" w:cs="Times New Roman"/>
          <w:sz w:val="24"/>
          <w:szCs w:val="24"/>
        </w:rPr>
        <w:t>a odnosi se na tekuće donacije O.Š.Vladimir Nazor u Škabrnji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A100046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65D9" w:rsidRPr="00223BA8">
        <w:rPr>
          <w:rFonts w:ascii="Times New Roman" w:hAnsi="Times New Roman" w:cs="Times New Roman"/>
          <w:sz w:val="24"/>
          <w:szCs w:val="24"/>
        </w:rPr>
        <w:t>Dječji vrtić „Maruškica“ - Općina sufinancira boravak djece u vrtiću. Program</w:t>
      </w:r>
      <w:r>
        <w:rPr>
          <w:rFonts w:ascii="Times New Roman" w:hAnsi="Times New Roman" w:cs="Times New Roman"/>
          <w:sz w:val="24"/>
          <w:szCs w:val="24"/>
        </w:rPr>
        <w:t xml:space="preserve"> je planiran u iznosu i od 1.014.0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00,00 kuna , te su rashodi prikazani u Tablici 3,  Rashodi za sufinanciranje troškova dječjeg vrtića koje </w:t>
      </w:r>
      <w:r>
        <w:rPr>
          <w:rFonts w:ascii="Times New Roman" w:hAnsi="Times New Roman" w:cs="Times New Roman"/>
          <w:sz w:val="24"/>
          <w:szCs w:val="24"/>
        </w:rPr>
        <w:t>snosi općina Škabrnja iznose 750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kuna.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t>Program: Socijalna skrb i novčane pomoći</w:t>
      </w:r>
    </w:p>
    <w:p w:rsidR="00D565D9" w:rsidRPr="00223BA8" w:rsidRDefault="00D565D9" w:rsidP="00D565D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Pr="00223BA8" w:rsidRDefault="00807CF2" w:rsidP="00D56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A100041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D565D9" w:rsidRPr="00223BA8">
        <w:rPr>
          <w:rFonts w:ascii="Times New Roman" w:hAnsi="Times New Roman" w:cs="Times New Roman"/>
          <w:sz w:val="24"/>
          <w:szCs w:val="24"/>
        </w:rPr>
        <w:t>Pomoć socijalno ugroženim kategorijama stanovništva-  Aktivnost je planirana u iznosu od 100.000,00, a odnosi se na pomoć obiteljima i kućanstvima, naknade za novorođenčad, te ostale naknade iz proračuna u novcu.</w:t>
      </w:r>
    </w:p>
    <w:p w:rsidR="00D565D9" w:rsidRPr="00223BA8" w:rsidRDefault="00D565D9" w:rsidP="00D565D9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65D9" w:rsidRDefault="00807CF2" w:rsidP="00807C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A100042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Zdravstvena njega u kući starih i bolesnih- Aktiv</w:t>
      </w:r>
      <w:r>
        <w:rPr>
          <w:rFonts w:ascii="Times New Roman" w:hAnsi="Times New Roman" w:cs="Times New Roman"/>
          <w:sz w:val="24"/>
          <w:szCs w:val="24"/>
        </w:rPr>
        <w:t>nost je planirana u iznosu od 15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.000,00 kuna a odnosi na sufinanciranje pružanja usluga pomoći </w:t>
      </w:r>
      <w:r>
        <w:rPr>
          <w:rFonts w:ascii="Times New Roman" w:hAnsi="Times New Roman" w:cs="Times New Roman"/>
          <w:sz w:val="24"/>
          <w:szCs w:val="24"/>
        </w:rPr>
        <w:t>i njege u kući starijim osobama</w:t>
      </w:r>
    </w:p>
    <w:p w:rsidR="00D565D9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D565D9" w:rsidP="00D565D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Izdaci za rad ambulante u Škabrnja</w:t>
      </w:r>
    </w:p>
    <w:p w:rsidR="00807CF2" w:rsidRDefault="00D565D9" w:rsidP="00D56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565D9" w:rsidRDefault="00D565D9" w:rsidP="00D56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Program:2403  Zdravstvena zaštita</w:t>
      </w:r>
    </w:p>
    <w:p w:rsidR="00807CF2" w:rsidRPr="00223BA8" w:rsidRDefault="00807CF2" w:rsidP="00D565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9" w:rsidRPr="00223BA8" w:rsidRDefault="00807CF2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A100044</w:t>
      </w:r>
      <w:r w:rsidR="00D565D9"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D565D9" w:rsidRPr="00223BA8">
        <w:rPr>
          <w:rFonts w:ascii="Times New Roman" w:hAnsi="Times New Roman" w:cs="Times New Roman"/>
          <w:sz w:val="24"/>
          <w:szCs w:val="24"/>
        </w:rPr>
        <w:t>Izdaci za rad ambulante u Škabrnji- Aktiv</w:t>
      </w:r>
      <w:r>
        <w:rPr>
          <w:rFonts w:ascii="Times New Roman" w:hAnsi="Times New Roman" w:cs="Times New Roman"/>
          <w:sz w:val="24"/>
          <w:szCs w:val="24"/>
        </w:rPr>
        <w:t>nost je planirana u iznosu od 20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kuna. R</w:t>
      </w:r>
      <w:r w:rsidR="00D565D9">
        <w:rPr>
          <w:rFonts w:ascii="Times New Roman" w:hAnsi="Times New Roman" w:cs="Times New Roman"/>
          <w:sz w:val="24"/>
          <w:szCs w:val="24"/>
        </w:rPr>
        <w:t xml:space="preserve">ashod se odnosi na potrošnju električne </w:t>
      </w:r>
      <w:r w:rsidR="00D565D9" w:rsidRPr="00223BA8">
        <w:rPr>
          <w:rFonts w:ascii="Times New Roman" w:hAnsi="Times New Roman" w:cs="Times New Roman"/>
          <w:sz w:val="24"/>
          <w:szCs w:val="24"/>
        </w:rPr>
        <w:t>energije za rad ambulante u Škabrnji.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807CF2" w:rsidP="00D565D9">
      <w:pPr>
        <w:jc w:val="both"/>
        <w:rPr>
          <w:rFonts w:ascii="Times New Roman" w:hAnsi="Times New Roman" w:cs="Times New Roman"/>
          <w:sz w:val="24"/>
          <w:szCs w:val="24"/>
        </w:rPr>
      </w:pPr>
      <w:r w:rsidRPr="00807CF2">
        <w:rPr>
          <w:rFonts w:ascii="Times New Roman" w:hAnsi="Times New Roman" w:cs="Times New Roman"/>
          <w:b/>
          <w:i/>
          <w:sz w:val="24"/>
          <w:szCs w:val="24"/>
        </w:rPr>
        <w:t>A100045</w:t>
      </w:r>
      <w:r w:rsidR="00D565D9" w:rsidRPr="00223BA8">
        <w:rPr>
          <w:rFonts w:ascii="Times New Roman" w:hAnsi="Times New Roman" w:cs="Times New Roman"/>
          <w:sz w:val="24"/>
          <w:szCs w:val="24"/>
        </w:rPr>
        <w:t xml:space="preserve"> – Zdravstvene  i veterinarske usluge – akti</w:t>
      </w:r>
      <w:r>
        <w:rPr>
          <w:rFonts w:ascii="Times New Roman" w:hAnsi="Times New Roman" w:cs="Times New Roman"/>
          <w:sz w:val="24"/>
          <w:szCs w:val="24"/>
        </w:rPr>
        <w:t>vnost je planirana u iznosu od 3</w:t>
      </w:r>
      <w:r w:rsidR="00D565D9" w:rsidRPr="00223BA8">
        <w:rPr>
          <w:rFonts w:ascii="Times New Roman" w:hAnsi="Times New Roman" w:cs="Times New Roman"/>
          <w:sz w:val="24"/>
          <w:szCs w:val="24"/>
        </w:rPr>
        <w:t>.000,00 kuna, a odnosi se na ugovor sklopljen sa ZZJZ, te ostale veterinarske i zdravstvene usluge.</w:t>
      </w:r>
    </w:p>
    <w:p w:rsidR="00D565D9" w:rsidRPr="00223BA8" w:rsidRDefault="00D565D9" w:rsidP="00D5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rPr>
          <w:rFonts w:ascii="Times New Roman" w:hAnsi="Times New Roman" w:cs="Times New Roman"/>
          <w:sz w:val="24"/>
          <w:szCs w:val="24"/>
        </w:rPr>
      </w:pPr>
    </w:p>
    <w:p w:rsidR="00D565D9" w:rsidRPr="00223BA8" w:rsidRDefault="00D565D9" w:rsidP="00D565D9">
      <w:pPr>
        <w:rPr>
          <w:rFonts w:ascii="Times New Roman" w:hAnsi="Times New Roman" w:cs="Times New Roman"/>
          <w:sz w:val="24"/>
          <w:szCs w:val="24"/>
        </w:rPr>
      </w:pPr>
    </w:p>
    <w:p w:rsidR="00D565D9" w:rsidRDefault="00D565D9" w:rsidP="00D565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854325" cy="1717675"/>
            <wp:effectExtent l="19050" t="0" r="3175" b="0"/>
            <wp:docPr id="11" name="Slika 21" descr="Slikovni rezultat za FINANCIJSKA IZVJEŠ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ikovni rezultat za FINANCIJSKA IZVJEŠĆ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5D9" w:rsidRPr="00223BA8" w:rsidRDefault="00D565D9" w:rsidP="00D565D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E5297" w:rsidRDefault="00DE5297"/>
    <w:sectPr w:rsidR="00DE5297" w:rsidSect="00DE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09" w:rsidRDefault="00E16009" w:rsidP="00162E54">
      <w:pPr>
        <w:spacing w:line="240" w:lineRule="auto"/>
      </w:pPr>
      <w:r>
        <w:separator/>
      </w:r>
    </w:p>
  </w:endnote>
  <w:endnote w:type="continuationSeparator" w:id="0">
    <w:p w:rsidR="00E16009" w:rsidRDefault="00E16009" w:rsidP="00162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09" w:rsidRDefault="00E16009" w:rsidP="00162E54">
      <w:pPr>
        <w:spacing w:line="240" w:lineRule="auto"/>
      </w:pPr>
      <w:r>
        <w:separator/>
      </w:r>
    </w:p>
  </w:footnote>
  <w:footnote w:type="continuationSeparator" w:id="0">
    <w:p w:rsidR="00E16009" w:rsidRDefault="00E16009" w:rsidP="00162E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32B"/>
    <w:multiLevelType w:val="hybridMultilevel"/>
    <w:tmpl w:val="C11E2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D9"/>
    <w:rsid w:val="00120D34"/>
    <w:rsid w:val="00162E54"/>
    <w:rsid w:val="00175648"/>
    <w:rsid w:val="001F3344"/>
    <w:rsid w:val="0022028B"/>
    <w:rsid w:val="002628FD"/>
    <w:rsid w:val="00276041"/>
    <w:rsid w:val="002A4D24"/>
    <w:rsid w:val="002B0668"/>
    <w:rsid w:val="003063F4"/>
    <w:rsid w:val="003D4841"/>
    <w:rsid w:val="004264D4"/>
    <w:rsid w:val="0058218F"/>
    <w:rsid w:val="005B617F"/>
    <w:rsid w:val="006D4CC0"/>
    <w:rsid w:val="00807CF2"/>
    <w:rsid w:val="008E2A5F"/>
    <w:rsid w:val="008E4CDE"/>
    <w:rsid w:val="00B02BC1"/>
    <w:rsid w:val="00B10349"/>
    <w:rsid w:val="00B87CBA"/>
    <w:rsid w:val="00BF6AAE"/>
    <w:rsid w:val="00D14CCF"/>
    <w:rsid w:val="00D565D9"/>
    <w:rsid w:val="00DA4278"/>
    <w:rsid w:val="00DE5297"/>
    <w:rsid w:val="00E16009"/>
    <w:rsid w:val="00E6059A"/>
    <w:rsid w:val="00E92717"/>
    <w:rsid w:val="00EE5C7C"/>
    <w:rsid w:val="00F97D5C"/>
    <w:rsid w:val="00FF092C"/>
    <w:rsid w:val="00FF1988"/>
    <w:rsid w:val="00FF3C83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D9"/>
    <w:pPr>
      <w:ind w:left="720"/>
      <w:contextualSpacing/>
    </w:pPr>
  </w:style>
  <w:style w:type="paragraph" w:customStyle="1" w:styleId="Default">
    <w:name w:val="Default"/>
    <w:rsid w:val="00D565D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565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E5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54"/>
  </w:style>
  <w:style w:type="paragraph" w:styleId="Footer">
    <w:name w:val="footer"/>
    <w:basedOn w:val="Normal"/>
    <w:link w:val="FooterChar"/>
    <w:uiPriority w:val="99"/>
    <w:unhideWhenUsed/>
    <w:rsid w:val="00162E5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Prihodi i primici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Pomoći iz inozemstva i od subjekata unutar općeg</a:t>
                    </a:r>
                    <a:r>
                      <a:rPr lang="hr-HR" baseline="0"/>
                      <a:t> </a:t>
                    </a:r>
                    <a:r>
                      <a:rPr lang="en-US"/>
                      <a:t>proračuna; 27,36%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općegg proračuna</c:v>
                </c:pt>
                <c:pt idx="2">
                  <c:v>Prihodi od imovine</c:v>
                </c:pt>
                <c:pt idx="3">
                  <c:v>Prihodi od upravnih i admin.pristojbi, pristojbi po posebnim propisima i naknadama</c:v>
                </c:pt>
                <c:pt idx="4">
                  <c:v>Donacije od pravnih i fiz.osoba izvan općeg praoračuna</c:v>
                </c:pt>
                <c:pt idx="5">
                  <c:v>Ostali prihodi</c:v>
                </c:pt>
                <c:pt idx="6">
                  <c:v>Prihodi od prodaje neprozv.dugotrajne imovine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0.58409999999999995</c:v>
                </c:pt>
                <c:pt idx="1">
                  <c:v>0.27360000000000001</c:v>
                </c:pt>
                <c:pt idx="2">
                  <c:v>6.4999999999999997E-3</c:v>
                </c:pt>
                <c:pt idx="3">
                  <c:v>0.1051</c:v>
                </c:pt>
                <c:pt idx="4">
                  <c:v>3.5999999999999999E-3</c:v>
                </c:pt>
                <c:pt idx="5">
                  <c:v>2E-3</c:v>
                </c:pt>
                <c:pt idx="6">
                  <c:v>2.5100000000000001E-2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a:ln>
        <a:effectLst>
          <a:glow rad="457200">
            <a:schemeClr val="accent1"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prst="relaxedInset"/>
        </a:sp3d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UKUPNI RASHODI I IZDACI</c:v>
                </c:pt>
              </c:strCache>
            </c:strRef>
          </c:tx>
          <c:explosion val="44"/>
          <c:dPt>
            <c:idx val="7"/>
            <c:bubble3D val="0"/>
            <c:explosion val="152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osig.i dr.naknade</c:v>
                </c:pt>
                <c:pt idx="5">
                  <c:v>Ostali rashodi</c:v>
                </c:pt>
                <c:pt idx="6">
                  <c:v>Rashodi za nabavu neproizv.dugotr.imovine</c:v>
                </c:pt>
                <c:pt idx="7">
                  <c:v>Rashodi za nabavu proizv.dugotr.imovine</c:v>
                </c:pt>
                <c:pt idx="8">
                  <c:v>Otplata glavnice primljenih kredita i primlj.zajmova u javnom sektorui</c:v>
                </c:pt>
                <c:pt idx="9">
                  <c:v>Otplata glavnice primljenih kredita i primlj.zajmova izvan javnom sektorui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0.27279999999999999</c:v>
                </c:pt>
                <c:pt idx="1">
                  <c:v>0.2162</c:v>
                </c:pt>
                <c:pt idx="2">
                  <c:v>7.4999999999999997E-3</c:v>
                </c:pt>
                <c:pt idx="3">
                  <c:v>4.0000000000000002E-4</c:v>
                </c:pt>
                <c:pt idx="4">
                  <c:v>2.5999999999999999E-2</c:v>
                </c:pt>
                <c:pt idx="5">
                  <c:v>6.5199999999999994E-2</c:v>
                </c:pt>
                <c:pt idx="6">
                  <c:v>1.7899999999999999E-2</c:v>
                </c:pt>
                <c:pt idx="7">
                  <c:v>0.37540000000000001</c:v>
                </c:pt>
                <c:pt idx="8">
                  <c:v>8.9999999999999993E-3</c:v>
                </c:pt>
                <c:pt idx="9">
                  <c:v>1.4500000000000001E-2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3766</Words>
  <Characters>21468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9</cp:revision>
  <dcterms:created xsi:type="dcterms:W3CDTF">2020-12-30T09:32:00Z</dcterms:created>
  <dcterms:modified xsi:type="dcterms:W3CDTF">2021-01-07T13:37:00Z</dcterms:modified>
</cp:coreProperties>
</file>